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9AE7" w14:textId="77777777" w:rsidR="00571272" w:rsidRPr="00307771" w:rsidRDefault="00571272" w:rsidP="006962A9">
      <w:pPr>
        <w:tabs>
          <w:tab w:val="left" w:pos="9990"/>
        </w:tabs>
        <w:spacing w:after="100" w:afterAutospacing="1" w:line="240" w:lineRule="auto"/>
        <w:ind w:left="142" w:right="142"/>
        <w:contextualSpacing/>
        <w:jc w:val="center"/>
        <w:rPr>
          <w:rFonts w:ascii="Verdana" w:hAnsi="Verdana"/>
          <w:sz w:val="21"/>
          <w:szCs w:val="21"/>
          <w:u w:val="single"/>
        </w:rPr>
      </w:pPr>
      <w:r w:rsidRPr="00307771">
        <w:rPr>
          <w:rFonts w:ascii="Verdana" w:hAnsi="Verdana"/>
          <w:sz w:val="21"/>
          <w:szCs w:val="21"/>
          <w:u w:val="single"/>
        </w:rPr>
        <w:t>IN THE NATIONAL INDUSTRIAL COURT OF NIGERIA</w:t>
      </w:r>
    </w:p>
    <w:p w14:paraId="457E61F7" w14:textId="77777777" w:rsidR="00571272" w:rsidRPr="00307771" w:rsidRDefault="00571272" w:rsidP="006962A9">
      <w:pPr>
        <w:spacing w:after="100" w:afterAutospacing="1" w:line="240" w:lineRule="auto"/>
        <w:ind w:left="142" w:right="142"/>
        <w:contextualSpacing/>
        <w:jc w:val="center"/>
        <w:rPr>
          <w:rFonts w:ascii="Verdana" w:hAnsi="Verdana"/>
          <w:sz w:val="21"/>
          <w:szCs w:val="21"/>
          <w:u w:val="single"/>
        </w:rPr>
      </w:pPr>
      <w:r w:rsidRPr="00307771">
        <w:rPr>
          <w:rFonts w:ascii="Verdana" w:hAnsi="Verdana"/>
          <w:sz w:val="21"/>
          <w:szCs w:val="21"/>
          <w:u w:val="single"/>
        </w:rPr>
        <w:t>IN THE OWERRI JUDICIAL DIVISION</w:t>
      </w:r>
    </w:p>
    <w:p w14:paraId="1C81169A" w14:textId="77777777" w:rsidR="00571272" w:rsidRPr="00307771" w:rsidRDefault="00571272" w:rsidP="006962A9">
      <w:pPr>
        <w:spacing w:after="100" w:afterAutospacing="1" w:line="240" w:lineRule="auto"/>
        <w:ind w:left="142" w:right="142"/>
        <w:contextualSpacing/>
        <w:jc w:val="center"/>
        <w:rPr>
          <w:rFonts w:ascii="Verdana" w:hAnsi="Verdana"/>
          <w:sz w:val="21"/>
          <w:szCs w:val="21"/>
          <w:u w:val="single"/>
        </w:rPr>
      </w:pPr>
      <w:r w:rsidRPr="00307771">
        <w:rPr>
          <w:rFonts w:ascii="Verdana" w:hAnsi="Verdana"/>
          <w:sz w:val="21"/>
          <w:szCs w:val="21"/>
          <w:u w:val="single"/>
        </w:rPr>
        <w:t>HOLDEN AT OWERRI</w:t>
      </w:r>
    </w:p>
    <w:p w14:paraId="1F4CCB91" w14:textId="77777777" w:rsidR="00571272" w:rsidRPr="00307771" w:rsidRDefault="00571272" w:rsidP="006962A9">
      <w:pPr>
        <w:spacing w:after="100" w:afterAutospacing="1" w:line="240" w:lineRule="auto"/>
        <w:ind w:left="142" w:right="142"/>
        <w:contextualSpacing/>
        <w:jc w:val="center"/>
        <w:rPr>
          <w:rFonts w:ascii="Verdana" w:hAnsi="Verdana"/>
          <w:sz w:val="21"/>
          <w:szCs w:val="21"/>
          <w:u w:val="single"/>
        </w:rPr>
      </w:pPr>
      <w:r w:rsidRPr="00307771">
        <w:rPr>
          <w:rFonts w:ascii="Verdana" w:hAnsi="Verdana"/>
          <w:sz w:val="21"/>
          <w:szCs w:val="21"/>
          <w:u w:val="single"/>
        </w:rPr>
        <w:t>BEFORE HIS LORDSHIP HONOURABLE JUSTICE I.S GALADIMA</w:t>
      </w:r>
    </w:p>
    <w:p w14:paraId="602A474D" w14:textId="77777777" w:rsidR="00571272" w:rsidRPr="00F21685" w:rsidRDefault="00571272" w:rsidP="006962A9">
      <w:pPr>
        <w:spacing w:after="100" w:afterAutospacing="1" w:line="240" w:lineRule="auto"/>
        <w:ind w:left="142"/>
        <w:contextualSpacing/>
        <w:jc w:val="center"/>
        <w:rPr>
          <w:rFonts w:ascii="Verdana" w:hAnsi="Verdana"/>
        </w:rPr>
      </w:pPr>
    </w:p>
    <w:p w14:paraId="5EF06AED" w14:textId="0C3EB77C" w:rsidR="00520F27" w:rsidRPr="007B2B48" w:rsidRDefault="00571272" w:rsidP="006962A9">
      <w:pPr>
        <w:spacing w:after="100" w:afterAutospacing="1" w:line="240" w:lineRule="auto"/>
        <w:ind w:left="142"/>
        <w:contextualSpacing/>
        <w:jc w:val="both"/>
        <w:rPr>
          <w:rFonts w:ascii="Verdana" w:hAnsi="Verdana"/>
          <w:sz w:val="20"/>
          <w:szCs w:val="20"/>
        </w:rPr>
      </w:pPr>
      <w:r w:rsidRPr="007B2B48">
        <w:rPr>
          <w:rFonts w:ascii="Verdana" w:hAnsi="Verdana"/>
          <w:sz w:val="20"/>
          <w:szCs w:val="20"/>
        </w:rPr>
        <w:t>DATE:</w:t>
      </w:r>
      <w:r w:rsidR="00307771">
        <w:rPr>
          <w:rFonts w:ascii="Verdana" w:hAnsi="Verdana"/>
          <w:sz w:val="20"/>
          <w:szCs w:val="20"/>
        </w:rPr>
        <w:t xml:space="preserve"> Friday 27</w:t>
      </w:r>
      <w:r w:rsidR="00307771" w:rsidRPr="00307771">
        <w:rPr>
          <w:rFonts w:ascii="Verdana" w:hAnsi="Verdana"/>
          <w:sz w:val="20"/>
          <w:szCs w:val="20"/>
          <w:vertAlign w:val="superscript"/>
        </w:rPr>
        <w:t>th</w:t>
      </w:r>
      <w:r w:rsidR="00307771">
        <w:rPr>
          <w:rFonts w:ascii="Verdana" w:hAnsi="Verdana"/>
          <w:sz w:val="20"/>
          <w:szCs w:val="20"/>
        </w:rPr>
        <w:t xml:space="preserve"> May 2022</w:t>
      </w:r>
      <w:r w:rsidR="000E3B42" w:rsidRPr="007B2B48">
        <w:rPr>
          <w:rFonts w:ascii="Verdana" w:hAnsi="Verdana"/>
          <w:sz w:val="20"/>
          <w:szCs w:val="20"/>
        </w:rPr>
        <w:tab/>
      </w:r>
      <w:r w:rsidR="000E3B42" w:rsidRPr="00F21685">
        <w:rPr>
          <w:rFonts w:ascii="Verdana" w:hAnsi="Verdana"/>
        </w:rPr>
        <w:tab/>
      </w:r>
      <w:r w:rsidR="000E3B42" w:rsidRPr="00F21685">
        <w:rPr>
          <w:rFonts w:ascii="Verdana" w:hAnsi="Verdana"/>
        </w:rPr>
        <w:tab/>
      </w:r>
      <w:r w:rsidR="000E3B42" w:rsidRPr="007B2B48">
        <w:rPr>
          <w:rFonts w:ascii="Verdana" w:hAnsi="Verdana"/>
          <w:sz w:val="20"/>
          <w:szCs w:val="20"/>
          <w:u w:val="single"/>
        </w:rPr>
        <w:t>SUIT NO:</w:t>
      </w:r>
      <w:r w:rsidR="008858A4" w:rsidRPr="007B2B48">
        <w:rPr>
          <w:rFonts w:ascii="Verdana" w:hAnsi="Verdana"/>
          <w:sz w:val="20"/>
          <w:szCs w:val="20"/>
          <w:u w:val="single"/>
        </w:rPr>
        <w:t>NICN/OW/19M/2021</w:t>
      </w:r>
      <w:r w:rsidR="00520F27" w:rsidRPr="007B2B48">
        <w:rPr>
          <w:rFonts w:ascii="Verdana" w:hAnsi="Verdana"/>
          <w:sz w:val="20"/>
          <w:szCs w:val="20"/>
          <w:u w:val="single"/>
        </w:rPr>
        <w:t xml:space="preserve"> </w:t>
      </w:r>
    </w:p>
    <w:p w14:paraId="3474EC21" w14:textId="09EE0B93" w:rsidR="00571272" w:rsidRPr="00EF60DF" w:rsidRDefault="008858A4" w:rsidP="006962A9">
      <w:pPr>
        <w:spacing w:after="100" w:afterAutospacing="1" w:line="240" w:lineRule="auto"/>
        <w:ind w:left="5040"/>
        <w:contextualSpacing/>
        <w:jc w:val="both"/>
        <w:rPr>
          <w:rFonts w:ascii="Verdana" w:hAnsi="Verdana"/>
          <w:sz w:val="20"/>
          <w:szCs w:val="20"/>
          <w:u w:val="single"/>
        </w:rPr>
      </w:pPr>
      <w:r w:rsidRPr="007B2B48">
        <w:rPr>
          <w:rFonts w:ascii="Verdana" w:hAnsi="Verdana"/>
          <w:sz w:val="20"/>
          <w:szCs w:val="20"/>
          <w:u w:val="single"/>
        </w:rPr>
        <w:t xml:space="preserve">IN RE SUIT </w:t>
      </w:r>
      <w:r w:rsidR="0091606C" w:rsidRPr="007B2B48">
        <w:rPr>
          <w:rFonts w:ascii="Verdana" w:hAnsi="Verdana"/>
          <w:sz w:val="20"/>
          <w:szCs w:val="20"/>
          <w:u w:val="single"/>
        </w:rPr>
        <w:t xml:space="preserve">NO: </w:t>
      </w:r>
      <w:r w:rsidR="000E3B42" w:rsidRPr="007B2B48">
        <w:rPr>
          <w:rFonts w:ascii="Verdana" w:hAnsi="Verdana"/>
          <w:sz w:val="20"/>
          <w:szCs w:val="20"/>
          <w:u w:val="single"/>
        </w:rPr>
        <w:t>NICN/OW/16/2019</w:t>
      </w:r>
      <w:r w:rsidR="00D57C46" w:rsidRPr="007B2B48">
        <w:rPr>
          <w:rFonts w:ascii="Verdana" w:hAnsi="Verdana"/>
          <w:sz w:val="20"/>
          <w:szCs w:val="20"/>
        </w:rPr>
        <w:tab/>
      </w:r>
      <w:r w:rsidR="00D57C46" w:rsidRPr="007B2B48">
        <w:rPr>
          <w:rFonts w:ascii="Verdana" w:hAnsi="Verdana"/>
          <w:sz w:val="20"/>
          <w:szCs w:val="20"/>
        </w:rPr>
        <w:tab/>
      </w:r>
      <w:r w:rsidR="00D57C46" w:rsidRPr="007B2B48">
        <w:rPr>
          <w:rFonts w:ascii="Verdana" w:hAnsi="Verdana"/>
          <w:sz w:val="20"/>
          <w:szCs w:val="20"/>
        </w:rPr>
        <w:tab/>
      </w:r>
      <w:r w:rsidR="00D57C46" w:rsidRPr="007B2B48">
        <w:rPr>
          <w:rFonts w:ascii="Verdana" w:hAnsi="Verdana"/>
          <w:sz w:val="20"/>
          <w:szCs w:val="20"/>
        </w:rPr>
        <w:tab/>
      </w:r>
      <w:r w:rsidR="00D57C46" w:rsidRPr="007B2B48">
        <w:rPr>
          <w:rFonts w:ascii="Verdana" w:hAnsi="Verdana"/>
          <w:sz w:val="20"/>
          <w:szCs w:val="20"/>
        </w:rPr>
        <w:tab/>
      </w:r>
      <w:r w:rsidR="00D57C46" w:rsidRPr="007B2B48">
        <w:rPr>
          <w:rFonts w:ascii="Verdana" w:hAnsi="Verdana"/>
          <w:sz w:val="20"/>
          <w:szCs w:val="20"/>
        </w:rPr>
        <w:tab/>
      </w:r>
    </w:p>
    <w:p w14:paraId="04937852" w14:textId="77777777" w:rsidR="00571272" w:rsidRPr="00A21FD2" w:rsidRDefault="00571272" w:rsidP="006962A9">
      <w:pPr>
        <w:spacing w:after="100" w:afterAutospacing="1" w:line="240" w:lineRule="auto"/>
        <w:ind w:left="142"/>
        <w:contextualSpacing/>
        <w:jc w:val="both"/>
        <w:rPr>
          <w:rFonts w:ascii="Verdana" w:hAnsi="Verdana"/>
          <w:sz w:val="20"/>
          <w:szCs w:val="20"/>
          <w:u w:val="single"/>
        </w:rPr>
      </w:pPr>
      <w:r w:rsidRPr="00A21FD2">
        <w:rPr>
          <w:rFonts w:ascii="Verdana" w:hAnsi="Verdana"/>
          <w:sz w:val="20"/>
          <w:szCs w:val="20"/>
          <w:u w:val="single"/>
        </w:rPr>
        <w:t>BETWEEN:</w:t>
      </w:r>
    </w:p>
    <w:p w14:paraId="287B9C76" w14:textId="1EF3F58F" w:rsidR="00571272" w:rsidRPr="00A21FD2" w:rsidRDefault="000E3B42" w:rsidP="006962A9">
      <w:pPr>
        <w:spacing w:after="100" w:afterAutospacing="1" w:line="240" w:lineRule="auto"/>
        <w:ind w:left="142"/>
        <w:contextualSpacing/>
        <w:rPr>
          <w:rFonts w:ascii="Verdana" w:hAnsi="Verdana"/>
          <w:sz w:val="20"/>
          <w:szCs w:val="20"/>
        </w:rPr>
      </w:pPr>
      <w:r w:rsidRPr="00A21FD2">
        <w:rPr>
          <w:rFonts w:ascii="Verdana" w:hAnsi="Verdana"/>
          <w:sz w:val="20"/>
          <w:szCs w:val="20"/>
        </w:rPr>
        <w:t>PRINCE EZE MADUMERE</w:t>
      </w:r>
      <w:r w:rsidRPr="00A21FD2">
        <w:rPr>
          <w:rFonts w:ascii="Verdana" w:hAnsi="Verdana"/>
          <w:sz w:val="20"/>
          <w:szCs w:val="20"/>
        </w:rPr>
        <w:tab/>
      </w:r>
      <w:r w:rsidR="00571272" w:rsidRPr="00A21FD2">
        <w:rPr>
          <w:rFonts w:ascii="Verdana" w:hAnsi="Verdana"/>
          <w:sz w:val="20"/>
          <w:szCs w:val="20"/>
        </w:rPr>
        <w:tab/>
      </w:r>
      <w:r w:rsidR="00571272" w:rsidRPr="00A21FD2">
        <w:rPr>
          <w:rFonts w:ascii="Verdana" w:hAnsi="Verdana"/>
          <w:sz w:val="20"/>
          <w:szCs w:val="20"/>
        </w:rPr>
        <w:tab/>
      </w:r>
      <w:r w:rsidR="00571272" w:rsidRPr="00A21FD2">
        <w:rPr>
          <w:rFonts w:ascii="Verdana" w:hAnsi="Verdana"/>
          <w:sz w:val="20"/>
          <w:szCs w:val="20"/>
        </w:rPr>
        <w:tab/>
        <w:t xml:space="preserve">JUDGMENT </w:t>
      </w:r>
      <w:r w:rsidRPr="00A21FD2">
        <w:rPr>
          <w:rFonts w:ascii="Verdana" w:hAnsi="Verdana"/>
          <w:sz w:val="20"/>
          <w:szCs w:val="20"/>
        </w:rPr>
        <w:t>CREDITOR/APPLICANT</w:t>
      </w:r>
      <w:r w:rsidR="00EF60DF" w:rsidRPr="00A21FD2">
        <w:rPr>
          <w:rFonts w:ascii="Verdana" w:hAnsi="Verdana"/>
          <w:sz w:val="20"/>
          <w:szCs w:val="20"/>
        </w:rPr>
        <w:t>.</w:t>
      </w:r>
    </w:p>
    <w:p w14:paraId="292E16F6" w14:textId="77777777" w:rsidR="00571272" w:rsidRPr="00A21FD2" w:rsidRDefault="00571272" w:rsidP="006962A9">
      <w:pPr>
        <w:spacing w:after="100" w:afterAutospacing="1" w:line="240" w:lineRule="auto"/>
        <w:ind w:left="142"/>
        <w:contextualSpacing/>
        <w:rPr>
          <w:rFonts w:ascii="Verdana" w:hAnsi="Verdana"/>
          <w:sz w:val="20"/>
          <w:szCs w:val="20"/>
        </w:rPr>
      </w:pPr>
    </w:p>
    <w:p w14:paraId="6833A8C4" w14:textId="77777777" w:rsidR="00571272" w:rsidRPr="00A21FD2" w:rsidRDefault="00571272" w:rsidP="006962A9">
      <w:pPr>
        <w:spacing w:after="100" w:afterAutospacing="1" w:line="240" w:lineRule="auto"/>
        <w:ind w:left="142"/>
        <w:contextualSpacing/>
        <w:rPr>
          <w:rFonts w:ascii="Verdana" w:hAnsi="Verdana"/>
          <w:sz w:val="20"/>
          <w:szCs w:val="20"/>
        </w:rPr>
      </w:pPr>
      <w:r w:rsidRPr="00A21FD2">
        <w:rPr>
          <w:rFonts w:ascii="Verdana" w:hAnsi="Verdana"/>
          <w:sz w:val="20"/>
          <w:szCs w:val="20"/>
        </w:rPr>
        <w:t>AND</w:t>
      </w:r>
    </w:p>
    <w:p w14:paraId="20DE5965" w14:textId="77777777" w:rsidR="00571272" w:rsidRPr="00A21FD2" w:rsidRDefault="00571272" w:rsidP="006962A9">
      <w:pPr>
        <w:spacing w:after="100" w:afterAutospacing="1" w:line="240" w:lineRule="auto"/>
        <w:ind w:left="142"/>
        <w:contextualSpacing/>
        <w:rPr>
          <w:rFonts w:ascii="Verdana" w:hAnsi="Verdana"/>
          <w:sz w:val="20"/>
          <w:szCs w:val="20"/>
        </w:rPr>
      </w:pPr>
    </w:p>
    <w:p w14:paraId="0D184AA4" w14:textId="650936FD" w:rsidR="00571272" w:rsidRPr="00A21FD2" w:rsidRDefault="00571272" w:rsidP="006962A9">
      <w:pPr>
        <w:spacing w:after="100" w:afterAutospacing="1" w:line="240" w:lineRule="auto"/>
        <w:ind w:left="142"/>
        <w:contextualSpacing/>
        <w:rPr>
          <w:rFonts w:ascii="Verdana" w:hAnsi="Verdana"/>
          <w:sz w:val="20"/>
          <w:szCs w:val="20"/>
        </w:rPr>
      </w:pPr>
      <w:r w:rsidRPr="00A21FD2">
        <w:rPr>
          <w:rFonts w:ascii="Verdana" w:hAnsi="Verdana"/>
          <w:sz w:val="20"/>
          <w:szCs w:val="20"/>
        </w:rPr>
        <w:t>ZENITH BANK PLC</w:t>
      </w:r>
      <w:r w:rsidRPr="00A21FD2">
        <w:rPr>
          <w:rFonts w:ascii="Verdana" w:hAnsi="Verdana"/>
          <w:sz w:val="20"/>
          <w:szCs w:val="20"/>
        </w:rPr>
        <w:tab/>
      </w:r>
      <w:r w:rsidRPr="00A21FD2">
        <w:rPr>
          <w:rFonts w:ascii="Verdana" w:hAnsi="Verdana"/>
          <w:sz w:val="20"/>
          <w:szCs w:val="20"/>
        </w:rPr>
        <w:tab/>
      </w:r>
      <w:r w:rsidRPr="00A21FD2">
        <w:rPr>
          <w:rFonts w:ascii="Verdana" w:hAnsi="Verdana"/>
          <w:sz w:val="20"/>
          <w:szCs w:val="20"/>
        </w:rPr>
        <w:tab/>
      </w:r>
      <w:r w:rsidRPr="00A21FD2">
        <w:rPr>
          <w:rFonts w:ascii="Verdana" w:hAnsi="Verdana"/>
          <w:sz w:val="20"/>
          <w:szCs w:val="20"/>
        </w:rPr>
        <w:tab/>
      </w:r>
      <w:r w:rsidRPr="00A21FD2">
        <w:rPr>
          <w:rFonts w:ascii="Verdana" w:hAnsi="Verdana"/>
          <w:sz w:val="20"/>
          <w:szCs w:val="20"/>
        </w:rPr>
        <w:tab/>
        <w:t>GARNISHEE</w:t>
      </w:r>
      <w:r w:rsidR="00EF60DF" w:rsidRPr="00A21FD2">
        <w:rPr>
          <w:rFonts w:ascii="Verdana" w:hAnsi="Verdana"/>
          <w:sz w:val="20"/>
          <w:szCs w:val="20"/>
        </w:rPr>
        <w:t xml:space="preserve"> BANK.</w:t>
      </w:r>
    </w:p>
    <w:p w14:paraId="77F42BF9" w14:textId="77777777" w:rsidR="00571272" w:rsidRPr="00A21FD2" w:rsidRDefault="00571272" w:rsidP="006962A9">
      <w:pPr>
        <w:spacing w:after="100" w:afterAutospacing="1" w:line="240" w:lineRule="auto"/>
        <w:ind w:left="142"/>
        <w:contextualSpacing/>
        <w:rPr>
          <w:rFonts w:ascii="Verdana" w:hAnsi="Verdana"/>
          <w:sz w:val="20"/>
          <w:szCs w:val="20"/>
        </w:rPr>
      </w:pPr>
    </w:p>
    <w:p w14:paraId="6D47EAB6" w14:textId="77777777" w:rsidR="00571272" w:rsidRPr="00A21FD2" w:rsidRDefault="00571272" w:rsidP="006962A9">
      <w:pPr>
        <w:spacing w:after="100" w:afterAutospacing="1" w:line="240" w:lineRule="auto"/>
        <w:ind w:left="142"/>
        <w:contextualSpacing/>
        <w:rPr>
          <w:rFonts w:ascii="Verdana" w:hAnsi="Verdana"/>
          <w:sz w:val="20"/>
          <w:szCs w:val="20"/>
        </w:rPr>
      </w:pPr>
      <w:r w:rsidRPr="00A21FD2">
        <w:rPr>
          <w:rFonts w:ascii="Verdana" w:hAnsi="Verdana"/>
          <w:sz w:val="20"/>
          <w:szCs w:val="20"/>
        </w:rPr>
        <w:t>AND</w:t>
      </w:r>
    </w:p>
    <w:p w14:paraId="7B0440AC" w14:textId="77777777" w:rsidR="000E3B42" w:rsidRPr="00A21FD2" w:rsidRDefault="000E3B42" w:rsidP="006962A9">
      <w:pPr>
        <w:pStyle w:val="ListParagraph"/>
        <w:numPr>
          <w:ilvl w:val="0"/>
          <w:numId w:val="1"/>
        </w:numPr>
        <w:spacing w:after="100" w:afterAutospacing="1" w:line="240" w:lineRule="auto"/>
        <w:ind w:left="142" w:firstLine="0"/>
        <w:rPr>
          <w:rFonts w:ascii="Verdana" w:hAnsi="Verdana"/>
          <w:sz w:val="20"/>
          <w:szCs w:val="20"/>
        </w:rPr>
      </w:pPr>
      <w:r w:rsidRPr="00A21FD2">
        <w:rPr>
          <w:rFonts w:ascii="Verdana" w:hAnsi="Verdana"/>
          <w:sz w:val="20"/>
          <w:szCs w:val="20"/>
        </w:rPr>
        <w:t>THE GOVERNOR OF IMO STATE</w:t>
      </w:r>
    </w:p>
    <w:p w14:paraId="6D3210BA" w14:textId="7F9F4398" w:rsidR="00571272" w:rsidRPr="00A21FD2" w:rsidRDefault="000E3B42" w:rsidP="006962A9">
      <w:pPr>
        <w:pStyle w:val="ListParagraph"/>
        <w:numPr>
          <w:ilvl w:val="0"/>
          <w:numId w:val="1"/>
        </w:numPr>
        <w:spacing w:after="100" w:afterAutospacing="1" w:line="240" w:lineRule="auto"/>
        <w:ind w:left="142" w:firstLine="0"/>
        <w:rPr>
          <w:rFonts w:ascii="Verdana" w:hAnsi="Verdana"/>
          <w:sz w:val="20"/>
          <w:szCs w:val="20"/>
        </w:rPr>
      </w:pPr>
      <w:r w:rsidRPr="00A21FD2">
        <w:rPr>
          <w:rFonts w:ascii="Verdana" w:hAnsi="Verdana"/>
          <w:sz w:val="20"/>
          <w:szCs w:val="20"/>
        </w:rPr>
        <w:t>ATTORNEY GENERAL OF IMO STATE</w:t>
      </w:r>
      <w:r w:rsidR="00571272" w:rsidRPr="00A21FD2">
        <w:rPr>
          <w:rFonts w:ascii="Verdana" w:hAnsi="Verdana"/>
          <w:sz w:val="20"/>
          <w:szCs w:val="20"/>
        </w:rPr>
        <w:tab/>
        <w:t>JUDGMENT DEBTORS/</w:t>
      </w:r>
      <w:r w:rsidRPr="00A21FD2">
        <w:rPr>
          <w:rFonts w:ascii="Verdana" w:hAnsi="Verdana"/>
          <w:sz w:val="20"/>
          <w:szCs w:val="20"/>
        </w:rPr>
        <w:t>RESPONDENTS</w:t>
      </w:r>
    </w:p>
    <w:p w14:paraId="34B88E5B" w14:textId="77777777" w:rsidR="00571272" w:rsidRPr="00A21FD2" w:rsidRDefault="000E3B42" w:rsidP="006962A9">
      <w:pPr>
        <w:pStyle w:val="ListParagraph"/>
        <w:numPr>
          <w:ilvl w:val="0"/>
          <w:numId w:val="1"/>
        </w:numPr>
        <w:spacing w:after="100" w:afterAutospacing="1" w:line="240" w:lineRule="auto"/>
        <w:ind w:left="142" w:firstLine="0"/>
        <w:rPr>
          <w:rFonts w:ascii="Verdana" w:hAnsi="Verdana"/>
          <w:sz w:val="20"/>
          <w:szCs w:val="20"/>
        </w:rPr>
      </w:pPr>
      <w:r w:rsidRPr="00A21FD2">
        <w:rPr>
          <w:rFonts w:ascii="Verdana" w:hAnsi="Verdana"/>
          <w:sz w:val="20"/>
          <w:szCs w:val="20"/>
        </w:rPr>
        <w:t>IMO STATE GOVERNMENT</w:t>
      </w:r>
      <w:r w:rsidR="00571272" w:rsidRPr="00A21FD2">
        <w:rPr>
          <w:rFonts w:ascii="Verdana" w:hAnsi="Verdana"/>
          <w:sz w:val="20"/>
          <w:szCs w:val="20"/>
        </w:rPr>
        <w:tab/>
      </w:r>
    </w:p>
    <w:p w14:paraId="273A0A5C" w14:textId="77777777" w:rsidR="00571272" w:rsidRPr="00931A39" w:rsidRDefault="00571272" w:rsidP="00BB504D">
      <w:pPr>
        <w:pStyle w:val="NoSpacing"/>
        <w:rPr>
          <w:rFonts w:ascii="Verdana" w:hAnsi="Verdana"/>
          <w:sz w:val="20"/>
          <w:szCs w:val="20"/>
          <w:u w:val="single"/>
        </w:rPr>
      </w:pPr>
      <w:r w:rsidRPr="00931A39">
        <w:rPr>
          <w:rFonts w:ascii="Verdana" w:hAnsi="Verdana"/>
          <w:sz w:val="20"/>
          <w:szCs w:val="20"/>
          <w:u w:val="single"/>
        </w:rPr>
        <w:t>Representation:</w:t>
      </w:r>
    </w:p>
    <w:p w14:paraId="44BB2984" w14:textId="69AB0C35" w:rsidR="002F1A00" w:rsidRPr="00931A39" w:rsidRDefault="002F1A00" w:rsidP="002F1A00">
      <w:pPr>
        <w:pStyle w:val="ListParagraph"/>
        <w:numPr>
          <w:ilvl w:val="0"/>
          <w:numId w:val="2"/>
        </w:numPr>
        <w:spacing w:after="100" w:afterAutospacing="1" w:line="240" w:lineRule="auto"/>
        <w:jc w:val="both"/>
        <w:rPr>
          <w:rFonts w:ascii="Verdana" w:hAnsi="Verdana"/>
          <w:sz w:val="20"/>
          <w:szCs w:val="20"/>
          <w:u w:val="single"/>
        </w:rPr>
      </w:pPr>
      <w:r w:rsidRPr="00931A39">
        <w:rPr>
          <w:rFonts w:ascii="Verdana" w:hAnsi="Verdana"/>
          <w:sz w:val="20"/>
          <w:szCs w:val="20"/>
        </w:rPr>
        <w:t>K.C.O NJEMANZE</w:t>
      </w:r>
      <w:r w:rsidR="00BB504D" w:rsidRPr="00931A39">
        <w:rPr>
          <w:rFonts w:ascii="Verdana" w:hAnsi="Verdana"/>
          <w:sz w:val="20"/>
          <w:szCs w:val="20"/>
        </w:rPr>
        <w:t xml:space="preserve"> (SAN)</w:t>
      </w:r>
      <w:r w:rsidR="007E78B0">
        <w:rPr>
          <w:rFonts w:ascii="Verdana" w:hAnsi="Verdana"/>
          <w:sz w:val="20"/>
          <w:szCs w:val="20"/>
        </w:rPr>
        <w:t>; K.I. UDUMA AND B. A. ABAKU</w:t>
      </w:r>
      <w:r w:rsidR="007A0CD1" w:rsidRPr="00931A39">
        <w:rPr>
          <w:rFonts w:ascii="Verdana" w:hAnsi="Verdana"/>
          <w:sz w:val="20"/>
          <w:szCs w:val="20"/>
        </w:rPr>
        <w:t xml:space="preserve"> FOR THE JUDGMENT CREDITOR/RESPONDENT</w:t>
      </w:r>
      <w:r w:rsidR="00BB504D" w:rsidRPr="00931A39">
        <w:rPr>
          <w:rFonts w:ascii="Verdana" w:hAnsi="Verdana"/>
          <w:sz w:val="20"/>
          <w:szCs w:val="20"/>
        </w:rPr>
        <w:t>.</w:t>
      </w:r>
    </w:p>
    <w:p w14:paraId="7EA009EC" w14:textId="014DAB58" w:rsidR="00571272" w:rsidRPr="00B26837" w:rsidRDefault="007A0CD1" w:rsidP="00931A39">
      <w:pPr>
        <w:pStyle w:val="ListParagraph"/>
        <w:numPr>
          <w:ilvl w:val="0"/>
          <w:numId w:val="2"/>
        </w:numPr>
        <w:spacing w:after="100" w:afterAutospacing="1" w:line="240" w:lineRule="auto"/>
        <w:jc w:val="both"/>
        <w:rPr>
          <w:rFonts w:ascii="Verdana" w:hAnsi="Verdana"/>
          <w:sz w:val="20"/>
          <w:szCs w:val="20"/>
          <w:u w:val="single"/>
        </w:rPr>
      </w:pPr>
      <w:r w:rsidRPr="00931A39">
        <w:rPr>
          <w:rFonts w:ascii="Verdana" w:hAnsi="Verdana"/>
          <w:sz w:val="20"/>
          <w:szCs w:val="20"/>
        </w:rPr>
        <w:t>L.</w:t>
      </w:r>
      <w:r w:rsidR="00BB504D" w:rsidRPr="00931A39">
        <w:rPr>
          <w:rFonts w:ascii="Verdana" w:hAnsi="Verdana"/>
          <w:sz w:val="20"/>
          <w:szCs w:val="20"/>
        </w:rPr>
        <w:t>M. ALOZIE (SAN)</w:t>
      </w:r>
      <w:r w:rsidR="004E422A">
        <w:rPr>
          <w:rFonts w:ascii="Verdana" w:hAnsi="Verdana"/>
          <w:sz w:val="20"/>
          <w:szCs w:val="20"/>
        </w:rPr>
        <w:t xml:space="preserve">; </w:t>
      </w:r>
      <w:r w:rsidR="00B26837">
        <w:rPr>
          <w:rFonts w:ascii="Verdana" w:hAnsi="Verdana"/>
          <w:sz w:val="20"/>
          <w:szCs w:val="20"/>
        </w:rPr>
        <w:t>R.U. OKOLO</w:t>
      </w:r>
      <w:r w:rsidR="00BB504D" w:rsidRPr="00931A39">
        <w:rPr>
          <w:rFonts w:ascii="Verdana" w:hAnsi="Verdana"/>
          <w:sz w:val="20"/>
          <w:szCs w:val="20"/>
        </w:rPr>
        <w:t xml:space="preserve"> FOR THE JUDGMENT DEBTORS/APPLICANTS</w:t>
      </w:r>
      <w:r w:rsidR="00B26837">
        <w:rPr>
          <w:rFonts w:ascii="Verdana" w:hAnsi="Verdana"/>
          <w:sz w:val="20"/>
          <w:szCs w:val="20"/>
        </w:rPr>
        <w:t>.</w:t>
      </w:r>
    </w:p>
    <w:p w14:paraId="1BB2F99B" w14:textId="09937502" w:rsidR="00B26837" w:rsidRPr="00931A39" w:rsidRDefault="00176EE6" w:rsidP="00931A39">
      <w:pPr>
        <w:pStyle w:val="ListParagraph"/>
        <w:numPr>
          <w:ilvl w:val="0"/>
          <w:numId w:val="2"/>
        </w:numPr>
        <w:spacing w:after="100" w:afterAutospacing="1" w:line="240" w:lineRule="auto"/>
        <w:jc w:val="both"/>
        <w:rPr>
          <w:rFonts w:ascii="Verdana" w:hAnsi="Verdana"/>
          <w:sz w:val="20"/>
          <w:szCs w:val="20"/>
          <w:u w:val="single"/>
        </w:rPr>
      </w:pPr>
      <w:r>
        <w:rPr>
          <w:rFonts w:ascii="Verdana" w:hAnsi="Verdana"/>
          <w:sz w:val="20"/>
          <w:szCs w:val="20"/>
        </w:rPr>
        <w:t>R.C. CHINAKA FOR THE GARNISHEE.</w:t>
      </w:r>
    </w:p>
    <w:p w14:paraId="5CA9930D" w14:textId="77777777" w:rsidR="00571272" w:rsidRPr="00F21685" w:rsidRDefault="00571272" w:rsidP="006962A9">
      <w:pPr>
        <w:pStyle w:val="NoSpacing"/>
        <w:ind w:left="142"/>
        <w:jc w:val="center"/>
        <w:rPr>
          <w:rFonts w:ascii="Verdana" w:hAnsi="Verdana"/>
          <w:b/>
          <w:bCs/>
          <w:u w:val="single"/>
        </w:rPr>
      </w:pPr>
      <w:r w:rsidRPr="00F21685">
        <w:rPr>
          <w:rFonts w:ascii="Verdana" w:hAnsi="Verdana"/>
          <w:b/>
          <w:bCs/>
          <w:u w:val="single"/>
        </w:rPr>
        <w:t>RULING:</w:t>
      </w:r>
    </w:p>
    <w:p w14:paraId="707B3E59" w14:textId="30363E51" w:rsidR="00E16DDF" w:rsidRPr="00F21685" w:rsidRDefault="007614C5"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This ruling was reserved sequel to the application </w:t>
      </w:r>
      <w:r w:rsidR="00E16DDF" w:rsidRPr="00F21685">
        <w:rPr>
          <w:rFonts w:ascii="Verdana" w:hAnsi="Verdana"/>
        </w:rPr>
        <w:t>by the judgment debtors/applicants dated 12/11/2021 and filed on 16/11/20</w:t>
      </w:r>
      <w:r w:rsidR="00FF4627">
        <w:rPr>
          <w:rFonts w:ascii="Verdana" w:hAnsi="Verdana"/>
        </w:rPr>
        <w:t>21</w:t>
      </w:r>
      <w:r w:rsidR="00E26E3E" w:rsidRPr="00F21685">
        <w:rPr>
          <w:rFonts w:ascii="Verdana" w:hAnsi="Verdana"/>
        </w:rPr>
        <w:t>. This application was brought pursuant to order 17 rules 1, 2(3), 14(6) of the rules of this court,</w:t>
      </w:r>
      <w:r w:rsidR="00E16DDF" w:rsidRPr="00F21685">
        <w:rPr>
          <w:rFonts w:ascii="Verdana" w:hAnsi="Verdana"/>
        </w:rPr>
        <w:t xml:space="preserve"> wherein the judgment debtors/applicants sought an order of this court setting aside the garnishee </w:t>
      </w:r>
      <w:r w:rsidR="00A336FF" w:rsidRPr="00F21685">
        <w:rPr>
          <w:rFonts w:ascii="Verdana" w:hAnsi="Verdana"/>
        </w:rPr>
        <w:t>o</w:t>
      </w:r>
      <w:r w:rsidR="00E16DDF" w:rsidRPr="00F21685">
        <w:rPr>
          <w:rFonts w:ascii="Verdana" w:hAnsi="Verdana"/>
        </w:rPr>
        <w:t xml:space="preserve">rder </w:t>
      </w:r>
      <w:r w:rsidR="00A336FF" w:rsidRPr="00F21685">
        <w:rPr>
          <w:rFonts w:ascii="Verdana" w:hAnsi="Verdana"/>
        </w:rPr>
        <w:t>n</w:t>
      </w:r>
      <w:r w:rsidR="00E16DDF" w:rsidRPr="00F21685">
        <w:rPr>
          <w:rFonts w:ascii="Verdana" w:hAnsi="Verdana"/>
        </w:rPr>
        <w:t>isi issued</w:t>
      </w:r>
      <w:r w:rsidR="00CA1D4D" w:rsidRPr="00F21685">
        <w:rPr>
          <w:rFonts w:ascii="Verdana" w:hAnsi="Verdana"/>
        </w:rPr>
        <w:t xml:space="preserve"> </w:t>
      </w:r>
      <w:r w:rsidR="00E16DDF" w:rsidRPr="00F21685">
        <w:rPr>
          <w:rFonts w:ascii="Verdana" w:hAnsi="Verdana"/>
        </w:rPr>
        <w:t>by this court on 15/10/2021, together with the entire garnishee proceedings for being incompetent, null and void and r</w:t>
      </w:r>
      <w:r w:rsidR="006565BE">
        <w:rPr>
          <w:rFonts w:ascii="Verdana" w:hAnsi="Verdana"/>
        </w:rPr>
        <w:t>o</w:t>
      </w:r>
      <w:r w:rsidR="00E16DDF" w:rsidRPr="00F21685">
        <w:rPr>
          <w:rFonts w:ascii="Verdana" w:hAnsi="Verdana"/>
        </w:rPr>
        <w:t>bbing this court of the jurisdiction to entertain same. The applicant</w:t>
      </w:r>
      <w:r w:rsidR="00CA1D4D" w:rsidRPr="00F21685">
        <w:rPr>
          <w:rFonts w:ascii="Verdana" w:hAnsi="Verdana"/>
        </w:rPr>
        <w:t>s</w:t>
      </w:r>
      <w:r w:rsidR="00E16DDF" w:rsidRPr="00F21685">
        <w:rPr>
          <w:rFonts w:ascii="Verdana" w:hAnsi="Verdana"/>
        </w:rPr>
        <w:t xml:space="preserve"> predicated their application upon 4 grounds to wit: </w:t>
      </w:r>
    </w:p>
    <w:p w14:paraId="4313DA5D" w14:textId="77777777" w:rsidR="00E26E3E" w:rsidRPr="00F21685" w:rsidRDefault="00E26E3E" w:rsidP="006962A9">
      <w:pPr>
        <w:pStyle w:val="ListParagraph"/>
        <w:spacing w:after="100" w:afterAutospacing="1" w:line="240" w:lineRule="auto"/>
        <w:ind w:left="142"/>
        <w:jc w:val="both"/>
        <w:rPr>
          <w:rFonts w:ascii="Verdana" w:hAnsi="Verdana"/>
        </w:rPr>
      </w:pPr>
    </w:p>
    <w:p w14:paraId="6BACE957" w14:textId="6D554DC0" w:rsidR="00E16DDF" w:rsidRPr="00F21685" w:rsidRDefault="00E16DDF" w:rsidP="005416A4">
      <w:pPr>
        <w:pStyle w:val="ListParagraph"/>
        <w:numPr>
          <w:ilvl w:val="2"/>
          <w:numId w:val="3"/>
        </w:numPr>
        <w:spacing w:after="100" w:afterAutospacing="1" w:line="240" w:lineRule="auto"/>
        <w:jc w:val="both"/>
        <w:rPr>
          <w:rFonts w:ascii="Verdana" w:hAnsi="Verdana"/>
        </w:rPr>
      </w:pPr>
      <w:r w:rsidRPr="00F21685">
        <w:rPr>
          <w:rFonts w:ascii="Verdana" w:hAnsi="Verdana"/>
        </w:rPr>
        <w:t>That this court lacks the jurisdiction to entertain the [garnishee] application</w:t>
      </w:r>
      <w:r w:rsidR="00CC2519">
        <w:rPr>
          <w:rFonts w:ascii="Verdana" w:hAnsi="Verdana"/>
        </w:rPr>
        <w:t>.</w:t>
      </w:r>
    </w:p>
    <w:p w14:paraId="63809A5A" w14:textId="77777777" w:rsidR="003775F5" w:rsidRPr="00F21685" w:rsidRDefault="00E16DDF" w:rsidP="005416A4">
      <w:pPr>
        <w:pStyle w:val="ListParagraph"/>
        <w:numPr>
          <w:ilvl w:val="2"/>
          <w:numId w:val="3"/>
        </w:numPr>
        <w:spacing w:after="100" w:afterAutospacing="1" w:line="240" w:lineRule="auto"/>
        <w:jc w:val="both"/>
        <w:rPr>
          <w:rFonts w:ascii="Verdana" w:hAnsi="Verdana"/>
        </w:rPr>
      </w:pPr>
      <w:r w:rsidRPr="00F21685">
        <w:rPr>
          <w:rFonts w:ascii="Verdana" w:hAnsi="Verdana"/>
        </w:rPr>
        <w:t xml:space="preserve">The garnishee proceeding in this case was brought in contravention of section 84 (1) of the Sheriff and </w:t>
      </w:r>
      <w:r w:rsidR="003775F5" w:rsidRPr="00F21685">
        <w:rPr>
          <w:rFonts w:ascii="Verdana" w:hAnsi="Verdana"/>
        </w:rPr>
        <w:t>Civil Process Act CAP S.6 Laws of the Federation of Nigeria 2004.</w:t>
      </w:r>
    </w:p>
    <w:p w14:paraId="57AE5053" w14:textId="77777777" w:rsidR="003775F5" w:rsidRPr="00F21685" w:rsidRDefault="003775F5" w:rsidP="005416A4">
      <w:pPr>
        <w:pStyle w:val="ListParagraph"/>
        <w:numPr>
          <w:ilvl w:val="2"/>
          <w:numId w:val="3"/>
        </w:numPr>
        <w:spacing w:after="100" w:afterAutospacing="1" w:line="240" w:lineRule="auto"/>
        <w:jc w:val="both"/>
        <w:rPr>
          <w:rFonts w:ascii="Verdana" w:hAnsi="Verdana"/>
        </w:rPr>
      </w:pPr>
      <w:r w:rsidRPr="00F21685">
        <w:rPr>
          <w:rFonts w:ascii="Verdana" w:hAnsi="Verdana"/>
        </w:rPr>
        <w:t>That though the money sought to be garnishee</w:t>
      </w:r>
      <w:r w:rsidR="00CA1D4D" w:rsidRPr="00F21685">
        <w:rPr>
          <w:rFonts w:ascii="Verdana" w:hAnsi="Verdana"/>
        </w:rPr>
        <w:t>d</w:t>
      </w:r>
      <w:r w:rsidRPr="00F21685">
        <w:rPr>
          <w:rFonts w:ascii="Verdana" w:hAnsi="Verdana"/>
        </w:rPr>
        <w:t xml:space="preserve"> is in the custody of the garnishee bank, it is however under the control of the Accountant General of Imo State who is a public officer.</w:t>
      </w:r>
    </w:p>
    <w:p w14:paraId="554C73FE" w14:textId="77777777" w:rsidR="00571272" w:rsidRPr="00F21685" w:rsidRDefault="003775F5" w:rsidP="005416A4">
      <w:pPr>
        <w:pStyle w:val="ListParagraph"/>
        <w:numPr>
          <w:ilvl w:val="2"/>
          <w:numId w:val="3"/>
        </w:numPr>
        <w:spacing w:after="100" w:afterAutospacing="1" w:line="240" w:lineRule="auto"/>
        <w:jc w:val="both"/>
        <w:rPr>
          <w:rFonts w:ascii="Verdana" w:hAnsi="Verdana"/>
        </w:rPr>
      </w:pPr>
      <w:r w:rsidRPr="00F21685">
        <w:rPr>
          <w:rFonts w:ascii="Verdana" w:hAnsi="Verdana"/>
        </w:rPr>
        <w:t xml:space="preserve">That the consent of the Attorney General which as a result of the above became a mandatory requirement before the commencement of the garnishee proceedings in this case. </w:t>
      </w:r>
      <w:r w:rsidR="00E16DDF" w:rsidRPr="00F21685">
        <w:rPr>
          <w:rFonts w:ascii="Verdana" w:hAnsi="Verdana"/>
        </w:rPr>
        <w:t xml:space="preserve"> </w:t>
      </w:r>
    </w:p>
    <w:p w14:paraId="710AAA11" w14:textId="77777777" w:rsidR="007614C5" w:rsidRPr="00F21685" w:rsidRDefault="007614C5" w:rsidP="006962A9">
      <w:pPr>
        <w:pStyle w:val="ListParagraph"/>
        <w:spacing w:after="100" w:afterAutospacing="1" w:line="240" w:lineRule="auto"/>
        <w:ind w:left="142"/>
        <w:rPr>
          <w:rFonts w:ascii="Verdana" w:hAnsi="Verdana"/>
        </w:rPr>
      </w:pPr>
    </w:p>
    <w:p w14:paraId="412B435D" w14:textId="4B28CD73" w:rsidR="006D117D" w:rsidRPr="00F21685" w:rsidRDefault="00B53E6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The </w:t>
      </w:r>
      <w:r w:rsidR="00F71EA3">
        <w:rPr>
          <w:rFonts w:ascii="Verdana" w:hAnsi="Verdana"/>
        </w:rPr>
        <w:t>a</w:t>
      </w:r>
      <w:r w:rsidRPr="00F21685">
        <w:rPr>
          <w:rFonts w:ascii="Verdana" w:hAnsi="Verdana"/>
        </w:rPr>
        <w:t xml:space="preserve">pplicants’ application is supported </w:t>
      </w:r>
      <w:r w:rsidR="00F71EA3">
        <w:rPr>
          <w:rFonts w:ascii="Verdana" w:hAnsi="Verdana"/>
        </w:rPr>
        <w:t>by</w:t>
      </w:r>
      <w:r w:rsidRPr="00F21685">
        <w:rPr>
          <w:rFonts w:ascii="Verdana" w:hAnsi="Verdana"/>
        </w:rPr>
        <w:t xml:space="preserve"> a 9-paragraph affidavit deposed to by one Br</w:t>
      </w:r>
      <w:r w:rsidR="00C72829" w:rsidRPr="00F21685">
        <w:rPr>
          <w:rFonts w:ascii="Verdana" w:hAnsi="Verdana"/>
        </w:rPr>
        <w:t>u</w:t>
      </w:r>
      <w:r w:rsidRPr="00F21685">
        <w:rPr>
          <w:rFonts w:ascii="Verdana" w:hAnsi="Verdana"/>
        </w:rPr>
        <w:t>no Nwachukwu, a litigation officer in the office of the 2</w:t>
      </w:r>
      <w:r w:rsidRPr="00F21685">
        <w:rPr>
          <w:rFonts w:ascii="Verdana" w:hAnsi="Verdana"/>
          <w:vertAlign w:val="superscript"/>
        </w:rPr>
        <w:t>nd</w:t>
      </w:r>
      <w:r w:rsidRPr="00F21685">
        <w:rPr>
          <w:rFonts w:ascii="Verdana" w:hAnsi="Verdana"/>
        </w:rPr>
        <w:t xml:space="preserve"> judgment debtor</w:t>
      </w:r>
      <w:r w:rsidR="00CA1D4D" w:rsidRPr="00F21685">
        <w:rPr>
          <w:rFonts w:ascii="Verdana" w:hAnsi="Verdana"/>
        </w:rPr>
        <w:t>s</w:t>
      </w:r>
      <w:r w:rsidRPr="00F21685">
        <w:rPr>
          <w:rFonts w:ascii="Verdana" w:hAnsi="Verdana"/>
        </w:rPr>
        <w:t>/applicant</w:t>
      </w:r>
      <w:r w:rsidR="00CA1D4D" w:rsidRPr="00F21685">
        <w:rPr>
          <w:rFonts w:ascii="Verdana" w:hAnsi="Verdana"/>
        </w:rPr>
        <w:t>s</w:t>
      </w:r>
      <w:r w:rsidRPr="00F21685">
        <w:rPr>
          <w:rFonts w:ascii="Verdana" w:hAnsi="Verdana"/>
        </w:rPr>
        <w:t xml:space="preserve">. </w:t>
      </w:r>
      <w:r w:rsidR="00F71EA3">
        <w:rPr>
          <w:rFonts w:ascii="Verdana" w:hAnsi="Verdana"/>
        </w:rPr>
        <w:t>A</w:t>
      </w:r>
      <w:r w:rsidRPr="00F21685">
        <w:rPr>
          <w:rFonts w:ascii="Verdana" w:hAnsi="Verdana"/>
        </w:rPr>
        <w:t>ttached to the said affidavit is exhibit ‘A’</w:t>
      </w:r>
      <w:r w:rsidR="000D5F5F" w:rsidRPr="00F21685">
        <w:rPr>
          <w:rFonts w:ascii="Verdana" w:hAnsi="Verdana"/>
        </w:rPr>
        <w:t xml:space="preserve"> </w:t>
      </w:r>
      <w:r w:rsidR="00F71EA3" w:rsidRPr="00F21685">
        <w:rPr>
          <w:rFonts w:ascii="Verdana" w:hAnsi="Verdana"/>
        </w:rPr>
        <w:t>Enrol</w:t>
      </w:r>
      <w:r w:rsidR="00F71EA3">
        <w:rPr>
          <w:rFonts w:ascii="Verdana" w:hAnsi="Verdana"/>
        </w:rPr>
        <w:t>led</w:t>
      </w:r>
      <w:r w:rsidR="000D5F5F" w:rsidRPr="00F21685">
        <w:rPr>
          <w:rFonts w:ascii="Verdana" w:hAnsi="Verdana"/>
        </w:rPr>
        <w:t xml:space="preserve"> Order Nisi. There is also filed by the </w:t>
      </w:r>
      <w:r w:rsidR="00BE5D62">
        <w:rPr>
          <w:rFonts w:ascii="Verdana" w:hAnsi="Verdana"/>
        </w:rPr>
        <w:t>j</w:t>
      </w:r>
      <w:r w:rsidR="000D5F5F" w:rsidRPr="00F21685">
        <w:rPr>
          <w:rFonts w:ascii="Verdana" w:hAnsi="Verdana"/>
        </w:rPr>
        <w:t>udgment debtors/applicants</w:t>
      </w:r>
      <w:r w:rsidR="00BE5D62">
        <w:rPr>
          <w:rFonts w:ascii="Verdana" w:hAnsi="Verdana"/>
        </w:rPr>
        <w:t>,</w:t>
      </w:r>
      <w:r w:rsidR="000D5F5F" w:rsidRPr="00F21685">
        <w:rPr>
          <w:rFonts w:ascii="Verdana" w:hAnsi="Verdana"/>
        </w:rPr>
        <w:t xml:space="preserve"> a written submission in which learned counsel for the judgment debtors/applicants canvassed legal arguments a</w:t>
      </w:r>
      <w:r w:rsidR="00CA1D4D" w:rsidRPr="00F21685">
        <w:rPr>
          <w:rFonts w:ascii="Verdana" w:hAnsi="Verdana"/>
        </w:rPr>
        <w:t>n</w:t>
      </w:r>
      <w:r w:rsidR="000D5F5F" w:rsidRPr="00F21685">
        <w:rPr>
          <w:rFonts w:ascii="Verdana" w:hAnsi="Verdana"/>
        </w:rPr>
        <w:t>d submissions in support of their applica</w:t>
      </w:r>
      <w:r w:rsidR="00C23410">
        <w:rPr>
          <w:rFonts w:ascii="Verdana" w:hAnsi="Verdana"/>
        </w:rPr>
        <w:t>tion</w:t>
      </w:r>
      <w:r w:rsidR="000D5F5F" w:rsidRPr="00F21685">
        <w:rPr>
          <w:rFonts w:ascii="Verdana" w:hAnsi="Verdana"/>
        </w:rPr>
        <w:t>. Submissions of counsel shall be refer</w:t>
      </w:r>
      <w:r w:rsidR="004757BB">
        <w:rPr>
          <w:rFonts w:ascii="Verdana" w:hAnsi="Verdana"/>
        </w:rPr>
        <w:t>red</w:t>
      </w:r>
      <w:r w:rsidR="000D5F5F" w:rsidRPr="00F21685">
        <w:rPr>
          <w:rFonts w:ascii="Verdana" w:hAnsi="Verdana"/>
        </w:rPr>
        <w:t xml:space="preserve"> to where ne</w:t>
      </w:r>
      <w:r w:rsidR="004757BB">
        <w:rPr>
          <w:rFonts w:ascii="Verdana" w:hAnsi="Verdana"/>
        </w:rPr>
        <w:t>cessary</w:t>
      </w:r>
      <w:r w:rsidR="000D5F5F" w:rsidRPr="00F21685">
        <w:rPr>
          <w:rFonts w:ascii="Verdana" w:hAnsi="Verdana"/>
        </w:rPr>
        <w:t xml:space="preserve"> in this ruling.</w:t>
      </w:r>
    </w:p>
    <w:p w14:paraId="33C423EC" w14:textId="77777777" w:rsidR="000D5F5F" w:rsidRPr="00F21685" w:rsidRDefault="000D5F5F" w:rsidP="006962A9">
      <w:pPr>
        <w:pStyle w:val="ListParagraph"/>
        <w:spacing w:after="100" w:afterAutospacing="1" w:line="240" w:lineRule="auto"/>
        <w:ind w:left="142"/>
        <w:jc w:val="both"/>
        <w:rPr>
          <w:rFonts w:ascii="Verdana" w:hAnsi="Verdana"/>
        </w:rPr>
      </w:pPr>
      <w:r w:rsidRPr="00F21685">
        <w:rPr>
          <w:rFonts w:ascii="Verdana" w:hAnsi="Verdana"/>
        </w:rPr>
        <w:lastRenderedPageBreak/>
        <w:t xml:space="preserve"> </w:t>
      </w:r>
    </w:p>
    <w:p w14:paraId="06A2E61C" w14:textId="7C6981B7" w:rsidR="00F9633F" w:rsidRPr="00F21685" w:rsidRDefault="000D5F5F"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 </w:t>
      </w:r>
      <w:r w:rsidR="00B53E63" w:rsidRPr="00F21685">
        <w:rPr>
          <w:rFonts w:ascii="Verdana" w:hAnsi="Verdana"/>
        </w:rPr>
        <w:t xml:space="preserve"> </w:t>
      </w:r>
      <w:r w:rsidRPr="00F21685">
        <w:rPr>
          <w:rFonts w:ascii="Verdana" w:hAnsi="Verdana"/>
        </w:rPr>
        <w:t>In reaction to the judgment debtors</w:t>
      </w:r>
      <w:r w:rsidR="00433DDD">
        <w:rPr>
          <w:rFonts w:ascii="Verdana" w:hAnsi="Verdana"/>
        </w:rPr>
        <w:t>’</w:t>
      </w:r>
      <w:r w:rsidRPr="00F21685">
        <w:rPr>
          <w:rFonts w:ascii="Verdana" w:hAnsi="Verdana"/>
        </w:rPr>
        <w:t>/applicants’ application, the judgment creditor/respondent filed a</w:t>
      </w:r>
      <w:r w:rsidR="00F9633F" w:rsidRPr="00F21685">
        <w:rPr>
          <w:rFonts w:ascii="Verdana" w:hAnsi="Verdana"/>
        </w:rPr>
        <w:t xml:space="preserve"> 5-paragraph </w:t>
      </w:r>
      <w:r w:rsidRPr="00F21685">
        <w:rPr>
          <w:rFonts w:ascii="Verdana" w:hAnsi="Verdana"/>
        </w:rPr>
        <w:t xml:space="preserve">counter affidavit in opposition. The </w:t>
      </w:r>
      <w:r w:rsidR="00CA1D4D" w:rsidRPr="00F21685">
        <w:rPr>
          <w:rFonts w:ascii="Verdana" w:hAnsi="Verdana"/>
        </w:rPr>
        <w:t xml:space="preserve">counter </w:t>
      </w:r>
      <w:r w:rsidRPr="00F21685">
        <w:rPr>
          <w:rFonts w:ascii="Verdana" w:hAnsi="Verdana"/>
        </w:rPr>
        <w:t xml:space="preserve">affidavit is deposed to by one Beatrice A. Abaku, a legal practitioner in the office of the </w:t>
      </w:r>
      <w:r w:rsidR="00F9633F" w:rsidRPr="00F21685">
        <w:rPr>
          <w:rFonts w:ascii="Verdana" w:hAnsi="Verdana"/>
        </w:rPr>
        <w:t>respondent</w:t>
      </w:r>
      <w:r w:rsidR="00CA1D4D" w:rsidRPr="00F21685">
        <w:rPr>
          <w:rFonts w:ascii="Verdana" w:hAnsi="Verdana"/>
        </w:rPr>
        <w:t>’</w:t>
      </w:r>
      <w:r w:rsidR="00F9633F" w:rsidRPr="00F21685">
        <w:rPr>
          <w:rFonts w:ascii="Verdana" w:hAnsi="Verdana"/>
        </w:rPr>
        <w:t>s counsel’s office.</w:t>
      </w:r>
      <w:r w:rsidRPr="00F21685">
        <w:rPr>
          <w:rFonts w:ascii="Verdana" w:hAnsi="Verdana"/>
        </w:rPr>
        <w:t xml:space="preserve"> </w:t>
      </w:r>
      <w:r w:rsidR="00F9633F" w:rsidRPr="00F21685">
        <w:rPr>
          <w:rFonts w:ascii="Verdana" w:hAnsi="Verdana"/>
        </w:rPr>
        <w:t>The said co</w:t>
      </w:r>
      <w:r w:rsidR="00CA1D4D" w:rsidRPr="00F21685">
        <w:rPr>
          <w:rFonts w:ascii="Verdana" w:hAnsi="Verdana"/>
        </w:rPr>
        <w:t>unter affidavit was filed along with</w:t>
      </w:r>
      <w:r w:rsidR="00F9633F" w:rsidRPr="00F21685">
        <w:rPr>
          <w:rFonts w:ascii="Verdana" w:hAnsi="Verdana"/>
        </w:rPr>
        <w:t xml:space="preserve"> written submissions of counsel to the judgment creditor/</w:t>
      </w:r>
      <w:r w:rsidR="006962A9">
        <w:rPr>
          <w:rFonts w:ascii="Verdana" w:hAnsi="Verdana"/>
        </w:rPr>
        <w:t>r</w:t>
      </w:r>
      <w:r w:rsidR="00F9633F" w:rsidRPr="00F21685">
        <w:rPr>
          <w:rFonts w:ascii="Verdana" w:hAnsi="Verdana"/>
        </w:rPr>
        <w:t>espondent.</w:t>
      </w:r>
    </w:p>
    <w:p w14:paraId="32627DB0" w14:textId="77777777" w:rsidR="006D117D" w:rsidRPr="00F21685" w:rsidRDefault="006D117D" w:rsidP="006962A9">
      <w:pPr>
        <w:pStyle w:val="ListParagraph"/>
        <w:spacing w:after="100" w:afterAutospacing="1" w:line="240" w:lineRule="auto"/>
        <w:ind w:left="142"/>
        <w:jc w:val="both"/>
        <w:rPr>
          <w:rFonts w:ascii="Verdana" w:hAnsi="Verdana"/>
        </w:rPr>
      </w:pPr>
    </w:p>
    <w:p w14:paraId="077CA7A7" w14:textId="242442AD" w:rsidR="00571272" w:rsidRPr="00F21685" w:rsidRDefault="000D5F5F"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 </w:t>
      </w:r>
      <w:r w:rsidR="00F9633F" w:rsidRPr="00F21685">
        <w:rPr>
          <w:rFonts w:ascii="Verdana" w:hAnsi="Verdana"/>
        </w:rPr>
        <w:t>May I also add that on 11/5/202</w:t>
      </w:r>
      <w:r w:rsidR="00A54226">
        <w:rPr>
          <w:rFonts w:ascii="Verdana" w:hAnsi="Verdana"/>
        </w:rPr>
        <w:t>2</w:t>
      </w:r>
      <w:r w:rsidR="00F9633F" w:rsidRPr="00F21685">
        <w:rPr>
          <w:rFonts w:ascii="Verdana" w:hAnsi="Verdana"/>
        </w:rPr>
        <w:t xml:space="preserve"> the lear</w:t>
      </w:r>
      <w:r w:rsidR="006D117D" w:rsidRPr="00F21685">
        <w:rPr>
          <w:rFonts w:ascii="Verdana" w:hAnsi="Verdana"/>
        </w:rPr>
        <w:t>ned counsel for the judgment deb</w:t>
      </w:r>
      <w:r w:rsidR="00F9633F" w:rsidRPr="00F21685">
        <w:rPr>
          <w:rFonts w:ascii="Verdana" w:hAnsi="Verdana"/>
        </w:rPr>
        <w:t>tors/applicants as well as the counsel for the judgment creditor/responden</w:t>
      </w:r>
      <w:r w:rsidR="00665E9D">
        <w:rPr>
          <w:rFonts w:ascii="Verdana" w:hAnsi="Verdana"/>
        </w:rPr>
        <w:t xml:space="preserve">t </w:t>
      </w:r>
      <w:r w:rsidR="00F9633F" w:rsidRPr="00F21685">
        <w:rPr>
          <w:rFonts w:ascii="Verdana" w:hAnsi="Verdana"/>
        </w:rPr>
        <w:t>orally adumbrat</w:t>
      </w:r>
      <w:r w:rsidR="003255B0">
        <w:rPr>
          <w:rFonts w:ascii="Verdana" w:hAnsi="Verdana"/>
        </w:rPr>
        <w:t>ed</w:t>
      </w:r>
      <w:r w:rsidR="004609A7">
        <w:rPr>
          <w:rFonts w:ascii="Verdana" w:hAnsi="Verdana"/>
        </w:rPr>
        <w:t xml:space="preserve"> on</w:t>
      </w:r>
      <w:r w:rsidR="00F9633F" w:rsidRPr="00F21685">
        <w:rPr>
          <w:rFonts w:ascii="Verdana" w:hAnsi="Verdana"/>
        </w:rPr>
        <w:t xml:space="preserve"> their respective written submissions while adopting the</w:t>
      </w:r>
      <w:r w:rsidR="004609A7">
        <w:rPr>
          <w:rFonts w:ascii="Verdana" w:hAnsi="Verdana"/>
        </w:rPr>
        <w:t>m</w:t>
      </w:r>
      <w:r w:rsidR="006D117D" w:rsidRPr="00F21685">
        <w:rPr>
          <w:rFonts w:ascii="Verdana" w:hAnsi="Verdana"/>
        </w:rPr>
        <w:t>. Reference to the facts deposed to in these parties</w:t>
      </w:r>
      <w:r w:rsidR="00665E9D">
        <w:rPr>
          <w:rFonts w:ascii="Verdana" w:hAnsi="Verdana"/>
        </w:rPr>
        <w:t>’</w:t>
      </w:r>
      <w:r w:rsidR="006D117D" w:rsidRPr="00F21685">
        <w:rPr>
          <w:rFonts w:ascii="Verdana" w:hAnsi="Verdana"/>
        </w:rPr>
        <w:t xml:space="preserve"> affidavits as well as</w:t>
      </w:r>
      <w:r w:rsidR="00665E9D">
        <w:rPr>
          <w:rFonts w:ascii="Verdana" w:hAnsi="Verdana"/>
        </w:rPr>
        <w:t xml:space="preserve"> their</w:t>
      </w:r>
      <w:r w:rsidR="006D117D" w:rsidRPr="00F21685">
        <w:rPr>
          <w:rFonts w:ascii="Verdana" w:hAnsi="Verdana"/>
        </w:rPr>
        <w:t xml:space="preserve"> counsel</w:t>
      </w:r>
      <w:r w:rsidR="00665E9D">
        <w:rPr>
          <w:rFonts w:ascii="Verdana" w:hAnsi="Verdana"/>
        </w:rPr>
        <w:t>s’</w:t>
      </w:r>
      <w:r w:rsidR="006D117D" w:rsidRPr="00F21685">
        <w:rPr>
          <w:rFonts w:ascii="Verdana" w:hAnsi="Verdana"/>
        </w:rPr>
        <w:t xml:space="preserve"> submissions shall be made in the course of this ruling.</w:t>
      </w:r>
      <w:r w:rsidR="00F9633F" w:rsidRPr="00F21685">
        <w:rPr>
          <w:rFonts w:ascii="Verdana" w:hAnsi="Verdana"/>
        </w:rPr>
        <w:t xml:space="preserve"> </w:t>
      </w:r>
    </w:p>
    <w:p w14:paraId="5438558F" w14:textId="77777777" w:rsidR="00571272" w:rsidRPr="00F21685" w:rsidRDefault="00571272" w:rsidP="006962A9">
      <w:pPr>
        <w:pStyle w:val="ListParagraph"/>
        <w:spacing w:after="100" w:afterAutospacing="1" w:line="240" w:lineRule="auto"/>
        <w:ind w:left="142"/>
        <w:jc w:val="both"/>
        <w:rPr>
          <w:rFonts w:ascii="Verdana" w:hAnsi="Verdana"/>
        </w:rPr>
      </w:pPr>
    </w:p>
    <w:p w14:paraId="10372904" w14:textId="6297B422" w:rsidR="00226DB4" w:rsidRPr="00F21685" w:rsidRDefault="006D117D"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It </w:t>
      </w:r>
      <w:r w:rsidR="00B86D95">
        <w:rPr>
          <w:rFonts w:ascii="Verdana" w:hAnsi="Verdana"/>
        </w:rPr>
        <w:t>must be stated that</w:t>
      </w:r>
      <w:r w:rsidRPr="00F21685">
        <w:rPr>
          <w:rFonts w:ascii="Verdana" w:hAnsi="Verdana"/>
        </w:rPr>
        <w:t xml:space="preserve"> </w:t>
      </w:r>
      <w:r w:rsidR="00242B68" w:rsidRPr="00F21685">
        <w:rPr>
          <w:rFonts w:ascii="Verdana" w:hAnsi="Verdana"/>
        </w:rPr>
        <w:t>this court</w:t>
      </w:r>
      <w:r w:rsidR="00B86D95">
        <w:rPr>
          <w:rFonts w:ascii="Verdana" w:hAnsi="Verdana"/>
        </w:rPr>
        <w:t xml:space="preserve"> entered a </w:t>
      </w:r>
      <w:r w:rsidR="00242B68" w:rsidRPr="00F21685">
        <w:rPr>
          <w:rFonts w:ascii="Verdana" w:hAnsi="Verdana"/>
        </w:rPr>
        <w:t xml:space="preserve">judgment </w:t>
      </w:r>
      <w:r w:rsidR="00162036">
        <w:rPr>
          <w:rFonts w:ascii="Verdana" w:hAnsi="Verdana"/>
        </w:rPr>
        <w:t>on merit</w:t>
      </w:r>
      <w:r w:rsidR="00242B68" w:rsidRPr="00F21685">
        <w:rPr>
          <w:rFonts w:ascii="Verdana" w:hAnsi="Verdana"/>
        </w:rPr>
        <w:t xml:space="preserve"> in the main suit</w:t>
      </w:r>
      <w:r w:rsidR="005267ED" w:rsidRPr="00F21685">
        <w:rPr>
          <w:rFonts w:ascii="Verdana" w:hAnsi="Verdana"/>
        </w:rPr>
        <w:t xml:space="preserve"> (</w:t>
      </w:r>
      <w:r w:rsidR="00B86D95">
        <w:rPr>
          <w:rFonts w:ascii="Verdana" w:hAnsi="Verdana"/>
        </w:rPr>
        <w:t>s</w:t>
      </w:r>
      <w:r w:rsidR="005267ED" w:rsidRPr="00F21685">
        <w:rPr>
          <w:rFonts w:ascii="Verdana" w:hAnsi="Verdana"/>
        </w:rPr>
        <w:t>uit No. NICN/OW/</w:t>
      </w:r>
      <w:r w:rsidR="000252DA">
        <w:rPr>
          <w:rFonts w:ascii="Verdana" w:hAnsi="Verdana"/>
        </w:rPr>
        <w:t>16</w:t>
      </w:r>
      <w:r w:rsidR="005267ED" w:rsidRPr="00F21685">
        <w:rPr>
          <w:rFonts w:ascii="Verdana" w:hAnsi="Verdana"/>
        </w:rPr>
        <w:t>/20</w:t>
      </w:r>
      <w:r w:rsidR="000252DA">
        <w:rPr>
          <w:rFonts w:ascii="Verdana" w:hAnsi="Verdana"/>
        </w:rPr>
        <w:t>19</w:t>
      </w:r>
      <w:r w:rsidR="005267ED" w:rsidRPr="00F21685">
        <w:rPr>
          <w:rFonts w:ascii="Verdana" w:hAnsi="Verdana"/>
        </w:rPr>
        <w:t>)</w:t>
      </w:r>
      <w:r w:rsidR="00242B68" w:rsidRPr="00F21685">
        <w:rPr>
          <w:rFonts w:ascii="Verdana" w:hAnsi="Verdana"/>
        </w:rPr>
        <w:t xml:space="preserve"> between these parties on 1/7/2021 in favour of the judgment creditor/respondent and against the judgment debtors/applicants</w:t>
      </w:r>
      <w:r w:rsidR="006F225A" w:rsidRPr="00F21685">
        <w:rPr>
          <w:rFonts w:ascii="Verdana" w:hAnsi="Verdana"/>
        </w:rPr>
        <w:t xml:space="preserve">. </w:t>
      </w:r>
      <w:r w:rsidR="00F22ACB">
        <w:rPr>
          <w:rFonts w:ascii="Verdana" w:hAnsi="Verdana"/>
        </w:rPr>
        <w:t>I</w:t>
      </w:r>
      <w:r w:rsidR="00242B68" w:rsidRPr="00F21685">
        <w:rPr>
          <w:rFonts w:ascii="Verdana" w:hAnsi="Verdana"/>
        </w:rPr>
        <w:t>n an effort to e</w:t>
      </w:r>
      <w:r w:rsidR="00F22ACB">
        <w:rPr>
          <w:rFonts w:ascii="Verdana" w:hAnsi="Verdana"/>
        </w:rPr>
        <w:t>nforce</w:t>
      </w:r>
      <w:r w:rsidR="00242B68" w:rsidRPr="00F21685">
        <w:rPr>
          <w:rFonts w:ascii="Verdana" w:hAnsi="Verdana"/>
        </w:rPr>
        <w:t xml:space="preserve"> the </w:t>
      </w:r>
      <w:r w:rsidR="00F22ACB">
        <w:rPr>
          <w:rFonts w:ascii="Verdana" w:hAnsi="Verdana"/>
        </w:rPr>
        <w:t>final</w:t>
      </w:r>
      <w:r w:rsidR="00242B68" w:rsidRPr="00F21685">
        <w:rPr>
          <w:rFonts w:ascii="Verdana" w:hAnsi="Verdana"/>
        </w:rPr>
        <w:t xml:space="preserve"> </w:t>
      </w:r>
      <w:r w:rsidR="006F225A" w:rsidRPr="00F21685">
        <w:rPr>
          <w:rFonts w:ascii="Verdana" w:hAnsi="Verdana"/>
        </w:rPr>
        <w:t>judgment against these judgment debtors/applicant</w:t>
      </w:r>
      <w:r w:rsidR="00E26E3E" w:rsidRPr="00F21685">
        <w:rPr>
          <w:rFonts w:ascii="Verdana" w:hAnsi="Verdana"/>
        </w:rPr>
        <w:t>s</w:t>
      </w:r>
      <w:r w:rsidR="006F225A" w:rsidRPr="00F21685">
        <w:rPr>
          <w:rFonts w:ascii="Verdana" w:hAnsi="Verdana"/>
        </w:rPr>
        <w:t xml:space="preserve">, the respondent herein filed a motion ex parte on 5/9/2021 for </w:t>
      </w:r>
      <w:r w:rsidR="00C350BA">
        <w:rPr>
          <w:rFonts w:ascii="Verdana" w:hAnsi="Verdana"/>
        </w:rPr>
        <w:t xml:space="preserve">a </w:t>
      </w:r>
      <w:r w:rsidR="006F225A" w:rsidRPr="00F21685">
        <w:rPr>
          <w:rFonts w:ascii="Verdana" w:hAnsi="Verdana"/>
        </w:rPr>
        <w:t>garnishee order nisi which was granted on 15/10/2021</w:t>
      </w:r>
      <w:r w:rsidR="00226DB4" w:rsidRPr="00F21685">
        <w:rPr>
          <w:rFonts w:ascii="Verdana" w:hAnsi="Verdana"/>
        </w:rPr>
        <w:t>.</w:t>
      </w:r>
    </w:p>
    <w:p w14:paraId="2F2D3EAB" w14:textId="77777777" w:rsidR="00226DB4" w:rsidRPr="00F21685" w:rsidRDefault="00226DB4" w:rsidP="006962A9">
      <w:pPr>
        <w:pStyle w:val="ListParagraph"/>
        <w:ind w:left="142"/>
        <w:rPr>
          <w:rFonts w:ascii="Verdana" w:hAnsi="Verdana"/>
        </w:rPr>
      </w:pPr>
    </w:p>
    <w:p w14:paraId="75C9F325" w14:textId="38E7545B" w:rsidR="00226DB4" w:rsidRPr="00F21685" w:rsidRDefault="00C350BA" w:rsidP="006962A9">
      <w:pPr>
        <w:pStyle w:val="ListParagraph"/>
        <w:numPr>
          <w:ilvl w:val="0"/>
          <w:numId w:val="3"/>
        </w:numPr>
        <w:spacing w:after="100" w:afterAutospacing="1" w:line="240" w:lineRule="auto"/>
        <w:ind w:left="142" w:firstLine="0"/>
        <w:jc w:val="both"/>
        <w:rPr>
          <w:rFonts w:ascii="Verdana" w:hAnsi="Verdana"/>
        </w:rPr>
      </w:pPr>
      <w:r>
        <w:rPr>
          <w:rFonts w:ascii="Verdana" w:hAnsi="Verdana"/>
        </w:rPr>
        <w:t>Meanwhile, t</w:t>
      </w:r>
      <w:r w:rsidR="00732B92" w:rsidRPr="00F21685">
        <w:rPr>
          <w:rFonts w:ascii="Verdana" w:hAnsi="Verdana"/>
        </w:rPr>
        <w:t>he judgment debtors/</w:t>
      </w:r>
      <w:r w:rsidR="00226DB4" w:rsidRPr="00F21685">
        <w:rPr>
          <w:rFonts w:ascii="Verdana" w:hAnsi="Verdana"/>
        </w:rPr>
        <w:t>applicant</w:t>
      </w:r>
      <w:r w:rsidR="00732B92" w:rsidRPr="00F21685">
        <w:rPr>
          <w:rFonts w:ascii="Verdana" w:hAnsi="Verdana"/>
        </w:rPr>
        <w:t>s</w:t>
      </w:r>
      <w:r w:rsidR="00226DB4" w:rsidRPr="00F21685">
        <w:rPr>
          <w:rFonts w:ascii="Verdana" w:hAnsi="Verdana"/>
        </w:rPr>
        <w:t xml:space="preserve"> stated in </w:t>
      </w:r>
      <w:r>
        <w:rPr>
          <w:rFonts w:ascii="Verdana" w:hAnsi="Verdana"/>
        </w:rPr>
        <w:t xml:space="preserve">their </w:t>
      </w:r>
      <w:r w:rsidR="00226DB4" w:rsidRPr="00F21685">
        <w:rPr>
          <w:rFonts w:ascii="Verdana" w:hAnsi="Verdana"/>
        </w:rPr>
        <w:t>paragraph</w:t>
      </w:r>
      <w:r>
        <w:rPr>
          <w:rFonts w:ascii="Verdana" w:hAnsi="Verdana"/>
        </w:rPr>
        <w:t>s</w:t>
      </w:r>
      <w:r w:rsidR="00226DB4" w:rsidRPr="00F21685">
        <w:rPr>
          <w:rFonts w:ascii="Verdana" w:hAnsi="Verdana"/>
        </w:rPr>
        <w:t xml:space="preserve"> 5,</w:t>
      </w:r>
      <w:r w:rsidR="00732B92" w:rsidRPr="00F21685">
        <w:rPr>
          <w:rFonts w:ascii="Verdana" w:hAnsi="Verdana"/>
        </w:rPr>
        <w:t xml:space="preserve"> </w:t>
      </w:r>
      <w:r w:rsidR="00226DB4" w:rsidRPr="00F21685">
        <w:rPr>
          <w:rFonts w:ascii="Verdana" w:hAnsi="Verdana"/>
        </w:rPr>
        <w:t>6 and 7 of the affidav</w:t>
      </w:r>
      <w:r w:rsidR="00732B92" w:rsidRPr="00F21685">
        <w:rPr>
          <w:rFonts w:ascii="Verdana" w:hAnsi="Verdana"/>
        </w:rPr>
        <w:t>it in support of their application</w:t>
      </w:r>
      <w:r w:rsidR="00226DB4" w:rsidRPr="00F21685">
        <w:rPr>
          <w:rFonts w:ascii="Verdana" w:hAnsi="Verdana"/>
        </w:rPr>
        <w:t xml:space="preserve"> </w:t>
      </w:r>
      <w:r w:rsidR="00732B92" w:rsidRPr="00F21685">
        <w:rPr>
          <w:rFonts w:ascii="Verdana" w:hAnsi="Verdana"/>
        </w:rPr>
        <w:t>under consideration that</w:t>
      </w:r>
      <w:r w:rsidR="00226DB4" w:rsidRPr="00F21685">
        <w:rPr>
          <w:rFonts w:ascii="Verdana" w:hAnsi="Verdana"/>
        </w:rPr>
        <w:t xml:space="preserve"> there is need for the judgment creditor/respondent to obtain the consent of the attorney general of Imo </w:t>
      </w:r>
      <w:r w:rsidR="00C73AAD">
        <w:rPr>
          <w:rFonts w:ascii="Verdana" w:hAnsi="Verdana"/>
        </w:rPr>
        <w:t>S</w:t>
      </w:r>
      <w:r w:rsidR="00226DB4" w:rsidRPr="00F21685">
        <w:rPr>
          <w:rFonts w:ascii="Verdana" w:hAnsi="Verdana"/>
        </w:rPr>
        <w:t>tate before commencing the garnishee proceeding</w:t>
      </w:r>
      <w:r w:rsidR="00732B92" w:rsidRPr="00F21685">
        <w:rPr>
          <w:rFonts w:ascii="Verdana" w:hAnsi="Verdana"/>
        </w:rPr>
        <w:t>s</w:t>
      </w:r>
      <w:r w:rsidR="00226DB4" w:rsidRPr="00F21685">
        <w:rPr>
          <w:rFonts w:ascii="Verdana" w:hAnsi="Verdana"/>
        </w:rPr>
        <w:t>, and that this was not done. The failure, according to the judgment debtors/applicants</w:t>
      </w:r>
      <w:r w:rsidR="00C73AAD">
        <w:rPr>
          <w:rFonts w:ascii="Verdana" w:hAnsi="Verdana"/>
        </w:rPr>
        <w:t>,</w:t>
      </w:r>
      <w:r w:rsidR="00226DB4" w:rsidRPr="00F21685">
        <w:rPr>
          <w:rFonts w:ascii="Verdana" w:hAnsi="Verdana"/>
        </w:rPr>
        <w:t xml:space="preserve"> divests this court </w:t>
      </w:r>
      <w:r w:rsidR="00D2298B">
        <w:rPr>
          <w:rFonts w:ascii="Verdana" w:hAnsi="Verdana"/>
        </w:rPr>
        <w:t>of</w:t>
      </w:r>
      <w:r w:rsidR="00226DB4" w:rsidRPr="00F21685">
        <w:rPr>
          <w:rFonts w:ascii="Verdana" w:hAnsi="Verdana"/>
        </w:rPr>
        <w:t xml:space="preserve"> the requisite jurisdiction to hear and determine the garnishee application in the first place. Hence</w:t>
      </w:r>
      <w:r w:rsidR="003E2AD3">
        <w:rPr>
          <w:rFonts w:ascii="Verdana" w:hAnsi="Verdana"/>
        </w:rPr>
        <w:t>,</w:t>
      </w:r>
      <w:r w:rsidR="00226DB4" w:rsidRPr="00F21685">
        <w:rPr>
          <w:rFonts w:ascii="Verdana" w:hAnsi="Verdana"/>
        </w:rPr>
        <w:t xml:space="preserve"> they seek that the garnishee order nisi already made by this court be set aside.</w:t>
      </w:r>
    </w:p>
    <w:p w14:paraId="5F81C827" w14:textId="77777777" w:rsidR="00226DB4" w:rsidRPr="00F21685" w:rsidRDefault="00226DB4" w:rsidP="006962A9">
      <w:pPr>
        <w:pStyle w:val="ListParagraph"/>
        <w:ind w:left="142"/>
        <w:rPr>
          <w:rFonts w:ascii="Verdana" w:hAnsi="Verdana"/>
        </w:rPr>
      </w:pPr>
    </w:p>
    <w:p w14:paraId="10E867CC" w14:textId="4A6980D5" w:rsidR="00226DB4" w:rsidRPr="00F21685" w:rsidRDefault="00E26E3E"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In </w:t>
      </w:r>
      <w:r w:rsidR="00655EA0" w:rsidRPr="00F21685">
        <w:rPr>
          <w:rFonts w:ascii="Verdana" w:hAnsi="Verdana"/>
        </w:rPr>
        <w:t xml:space="preserve">his written submissions, </w:t>
      </w:r>
      <w:r w:rsidR="009A100A">
        <w:rPr>
          <w:rFonts w:ascii="Verdana" w:hAnsi="Verdana"/>
        </w:rPr>
        <w:t xml:space="preserve">the </w:t>
      </w:r>
      <w:r w:rsidRPr="00F21685">
        <w:rPr>
          <w:rFonts w:ascii="Verdana" w:hAnsi="Verdana"/>
        </w:rPr>
        <w:t>learned</w:t>
      </w:r>
      <w:r w:rsidR="009A100A">
        <w:rPr>
          <w:rFonts w:ascii="Verdana" w:hAnsi="Verdana"/>
        </w:rPr>
        <w:t xml:space="preserve"> senior advocate</w:t>
      </w:r>
      <w:r w:rsidRPr="00F21685">
        <w:rPr>
          <w:rFonts w:ascii="Verdana" w:hAnsi="Verdana"/>
        </w:rPr>
        <w:t xml:space="preserve"> for the judgment debtors/applicants </w:t>
      </w:r>
      <w:r w:rsidR="009A100A">
        <w:rPr>
          <w:rFonts w:ascii="Verdana" w:hAnsi="Verdana"/>
        </w:rPr>
        <w:t>relied on</w:t>
      </w:r>
      <w:r w:rsidR="00417F95" w:rsidRPr="00F21685">
        <w:rPr>
          <w:rFonts w:ascii="Verdana" w:hAnsi="Verdana"/>
        </w:rPr>
        <w:t xml:space="preserve"> the </w:t>
      </w:r>
      <w:r w:rsidR="003E2AD3">
        <w:rPr>
          <w:rFonts w:ascii="Verdana" w:hAnsi="Verdana"/>
        </w:rPr>
        <w:t>case</w:t>
      </w:r>
      <w:r w:rsidR="00417F95" w:rsidRPr="00F21685">
        <w:rPr>
          <w:rFonts w:ascii="Verdana" w:hAnsi="Verdana"/>
        </w:rPr>
        <w:t xml:space="preserve"> of EXXON MOBILE CORPS V. ARCHIANGA (2018) 14 NWLR (PT. 1639) 229 AT 247-248; SKEN CONSULT (NIG) LTD V. UKEY (1981) 1 SC 6 to submit that this court </w:t>
      </w:r>
      <w:r w:rsidR="00655EA0" w:rsidRPr="00F21685">
        <w:rPr>
          <w:rFonts w:ascii="Verdana" w:hAnsi="Verdana"/>
        </w:rPr>
        <w:t>h</w:t>
      </w:r>
      <w:r w:rsidR="00417F95" w:rsidRPr="00F21685">
        <w:rPr>
          <w:rFonts w:ascii="Verdana" w:hAnsi="Verdana"/>
        </w:rPr>
        <w:t>as</w:t>
      </w:r>
      <w:r w:rsidR="003E2AD3">
        <w:rPr>
          <w:rFonts w:ascii="Verdana" w:hAnsi="Verdana"/>
        </w:rPr>
        <w:t xml:space="preserve"> the</w:t>
      </w:r>
      <w:r w:rsidR="00417F95" w:rsidRPr="00F21685">
        <w:rPr>
          <w:rFonts w:ascii="Verdana" w:hAnsi="Verdana"/>
        </w:rPr>
        <w:t xml:space="preserve"> powers to set aside the order nisi under </w:t>
      </w:r>
      <w:r w:rsidR="00296207">
        <w:rPr>
          <w:rFonts w:ascii="Verdana" w:hAnsi="Verdana"/>
        </w:rPr>
        <w:t>contemplation</w:t>
      </w:r>
      <w:r w:rsidR="00417F95" w:rsidRPr="00F21685">
        <w:rPr>
          <w:rFonts w:ascii="Verdana" w:hAnsi="Verdana"/>
        </w:rPr>
        <w:t xml:space="preserve"> for the reason that the garnishee proceedings w</w:t>
      </w:r>
      <w:r w:rsidR="006E70F2">
        <w:rPr>
          <w:rFonts w:ascii="Verdana" w:hAnsi="Verdana"/>
        </w:rPr>
        <w:t>ere</w:t>
      </w:r>
      <w:r w:rsidR="00417F95" w:rsidRPr="00F21685">
        <w:rPr>
          <w:rFonts w:ascii="Verdana" w:hAnsi="Verdana"/>
        </w:rPr>
        <w:t xml:space="preserve"> commence</w:t>
      </w:r>
      <w:r w:rsidR="00296207">
        <w:rPr>
          <w:rFonts w:ascii="Verdana" w:hAnsi="Verdana"/>
        </w:rPr>
        <w:t>d</w:t>
      </w:r>
      <w:r w:rsidR="00417F95" w:rsidRPr="00F21685">
        <w:rPr>
          <w:rFonts w:ascii="Verdana" w:hAnsi="Verdana"/>
        </w:rPr>
        <w:t xml:space="preserve"> without compliance to requisite conditions for the commencement of same. Further reliance was placed by</w:t>
      </w:r>
      <w:r w:rsidR="00936AE0">
        <w:rPr>
          <w:rFonts w:ascii="Verdana" w:hAnsi="Verdana"/>
        </w:rPr>
        <w:t xml:space="preserve"> him</w:t>
      </w:r>
      <w:r w:rsidR="00417F95" w:rsidRPr="00F21685">
        <w:rPr>
          <w:rFonts w:ascii="Verdana" w:hAnsi="Verdana"/>
        </w:rPr>
        <w:t xml:space="preserve"> on OBETA V. OKPE (1996) 9 NWLR (PT. 473) 401 AT 447 B-C.</w:t>
      </w:r>
    </w:p>
    <w:p w14:paraId="3EE2B89A" w14:textId="77777777" w:rsidR="005B47D3" w:rsidRPr="00F21685" w:rsidRDefault="005B47D3" w:rsidP="006962A9">
      <w:pPr>
        <w:pStyle w:val="ListParagraph"/>
        <w:ind w:left="142"/>
        <w:rPr>
          <w:rFonts w:ascii="Verdana" w:hAnsi="Verdana"/>
        </w:rPr>
      </w:pPr>
    </w:p>
    <w:p w14:paraId="1AD0CE54" w14:textId="6B46E327" w:rsidR="005B47D3" w:rsidRPr="00F21685" w:rsidRDefault="005B47D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Counsel </w:t>
      </w:r>
      <w:r w:rsidR="00936AE0">
        <w:rPr>
          <w:rFonts w:ascii="Verdana" w:hAnsi="Verdana"/>
        </w:rPr>
        <w:t>painstakingly</w:t>
      </w:r>
      <w:r w:rsidRPr="00F21685">
        <w:rPr>
          <w:rFonts w:ascii="Verdana" w:hAnsi="Verdana"/>
        </w:rPr>
        <w:t xml:space="preserve"> reproduce</w:t>
      </w:r>
      <w:r w:rsidR="00936AE0">
        <w:rPr>
          <w:rFonts w:ascii="Verdana" w:hAnsi="Verdana"/>
        </w:rPr>
        <w:t>d</w:t>
      </w:r>
      <w:r w:rsidRPr="00F21685">
        <w:rPr>
          <w:rFonts w:ascii="Verdana" w:hAnsi="Verdana"/>
        </w:rPr>
        <w:t xml:space="preserve"> the provisions of section 84 of the Sheriff and Civil Process Act 2004 and </w:t>
      </w:r>
      <w:r w:rsidR="00D46657">
        <w:rPr>
          <w:rFonts w:ascii="Verdana" w:hAnsi="Verdana"/>
        </w:rPr>
        <w:t xml:space="preserve">ministered </w:t>
      </w:r>
      <w:r w:rsidRPr="00F21685">
        <w:rPr>
          <w:rFonts w:ascii="Verdana" w:hAnsi="Verdana"/>
        </w:rPr>
        <w:t xml:space="preserve">that the consent of the attorney general of the state is required where the money liable to be attached </w:t>
      </w:r>
      <w:r w:rsidR="00EC1E7B">
        <w:rPr>
          <w:rFonts w:ascii="Verdana" w:hAnsi="Verdana"/>
        </w:rPr>
        <w:t>in</w:t>
      </w:r>
      <w:r w:rsidRPr="00F21685">
        <w:rPr>
          <w:rFonts w:ascii="Verdana" w:hAnsi="Verdana"/>
        </w:rPr>
        <w:t xml:space="preserve"> the garnishee proceedings is in </w:t>
      </w:r>
      <w:r w:rsidR="00EC1E7B">
        <w:rPr>
          <w:rFonts w:ascii="Verdana" w:hAnsi="Verdana"/>
        </w:rPr>
        <w:t xml:space="preserve">the </w:t>
      </w:r>
      <w:r w:rsidRPr="00F21685">
        <w:rPr>
          <w:rFonts w:ascii="Verdana" w:hAnsi="Verdana"/>
        </w:rPr>
        <w:t>custody or under the control of a public officer in his official capacity or in custodial egis.</w:t>
      </w:r>
    </w:p>
    <w:p w14:paraId="578832F2" w14:textId="77777777" w:rsidR="005B47D3" w:rsidRPr="00F21685" w:rsidRDefault="005B47D3" w:rsidP="006962A9">
      <w:pPr>
        <w:pStyle w:val="ListParagraph"/>
        <w:ind w:left="142"/>
        <w:rPr>
          <w:rFonts w:ascii="Verdana" w:hAnsi="Verdana"/>
        </w:rPr>
      </w:pPr>
    </w:p>
    <w:p w14:paraId="1F17643A" w14:textId="13BCEA56" w:rsidR="0002788B" w:rsidRPr="00F21685" w:rsidRDefault="005B47D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In paragraphs 3.06 and 3.07 of </w:t>
      </w:r>
      <w:r w:rsidR="00C0188B">
        <w:rPr>
          <w:rFonts w:ascii="Verdana" w:hAnsi="Verdana"/>
        </w:rPr>
        <w:t xml:space="preserve">the </w:t>
      </w:r>
      <w:r w:rsidR="003D45A7">
        <w:rPr>
          <w:rFonts w:ascii="Verdana" w:hAnsi="Verdana"/>
        </w:rPr>
        <w:t>learned</w:t>
      </w:r>
      <w:r w:rsidR="00C0188B">
        <w:rPr>
          <w:rFonts w:ascii="Verdana" w:hAnsi="Verdana"/>
        </w:rPr>
        <w:t xml:space="preserve"> silk’s</w:t>
      </w:r>
      <w:r w:rsidRPr="00F21685">
        <w:rPr>
          <w:rFonts w:ascii="Verdana" w:hAnsi="Verdana"/>
        </w:rPr>
        <w:t xml:space="preserve"> written submissions,</w:t>
      </w:r>
      <w:r w:rsidR="00C0188B">
        <w:rPr>
          <w:rFonts w:ascii="Verdana" w:hAnsi="Verdana"/>
        </w:rPr>
        <w:t xml:space="preserve"> he</w:t>
      </w:r>
      <w:r w:rsidRPr="00F21685">
        <w:rPr>
          <w:rFonts w:ascii="Verdana" w:hAnsi="Verdana"/>
        </w:rPr>
        <w:t xml:space="preserve"> emphasized that the judgment creditor/respondent</w:t>
      </w:r>
      <w:r w:rsidR="002D5A71">
        <w:rPr>
          <w:rFonts w:ascii="Verdana" w:hAnsi="Verdana"/>
        </w:rPr>
        <w:t>,</w:t>
      </w:r>
      <w:r w:rsidRPr="00F21685">
        <w:rPr>
          <w:rFonts w:ascii="Verdana" w:hAnsi="Verdana"/>
        </w:rPr>
        <w:t xml:space="preserve"> having not complied with the said section 84</w:t>
      </w:r>
      <w:r w:rsidR="004651FC">
        <w:rPr>
          <w:rFonts w:ascii="Verdana" w:hAnsi="Verdana"/>
        </w:rPr>
        <w:t xml:space="preserve"> </w:t>
      </w:r>
      <w:r w:rsidRPr="00F21685">
        <w:rPr>
          <w:rFonts w:ascii="Verdana" w:hAnsi="Verdana"/>
        </w:rPr>
        <w:t>(1) of the SCPA</w:t>
      </w:r>
      <w:r w:rsidR="00CD0BF8">
        <w:rPr>
          <w:rFonts w:ascii="Verdana" w:hAnsi="Verdana"/>
        </w:rPr>
        <w:t>,</w:t>
      </w:r>
      <w:r w:rsidRPr="00F21685">
        <w:rPr>
          <w:rFonts w:ascii="Verdana" w:hAnsi="Verdana"/>
        </w:rPr>
        <w:t xml:space="preserve"> </w:t>
      </w:r>
      <w:r w:rsidR="0059321E" w:rsidRPr="00F21685">
        <w:rPr>
          <w:rFonts w:ascii="Verdana" w:hAnsi="Verdana"/>
        </w:rPr>
        <w:t xml:space="preserve">the order nisi already obtained should be set aside for being null and void. Relevant judicial authorities were abundantly supplied by </w:t>
      </w:r>
      <w:r w:rsidR="00CD0BF8">
        <w:rPr>
          <w:rFonts w:ascii="Verdana" w:hAnsi="Verdana"/>
        </w:rPr>
        <w:t xml:space="preserve">him including </w:t>
      </w:r>
      <w:r w:rsidR="0059321E" w:rsidRPr="00F21685">
        <w:rPr>
          <w:rFonts w:ascii="Verdana" w:hAnsi="Verdana"/>
        </w:rPr>
        <w:t>C.B.N V. UMAR SAJO (2020) LWGAL PEDIA (CA0 14682; ONJEWA V. K.S.M.C.I (2003) 10 NWLR</w:t>
      </w:r>
      <w:r w:rsidR="00135111" w:rsidRPr="00F21685">
        <w:rPr>
          <w:rFonts w:ascii="Verdana" w:hAnsi="Verdana"/>
        </w:rPr>
        <w:t xml:space="preserve"> (PART. 827)</w:t>
      </w:r>
      <w:r w:rsidR="0059321E" w:rsidRPr="00F21685">
        <w:rPr>
          <w:rFonts w:ascii="Verdana" w:hAnsi="Verdana"/>
        </w:rPr>
        <w:t xml:space="preserve"> </w:t>
      </w:r>
      <w:r w:rsidR="00135111" w:rsidRPr="00F21685">
        <w:rPr>
          <w:rFonts w:ascii="Verdana" w:hAnsi="Verdana"/>
        </w:rPr>
        <w:t>40 AT 48 – 49; ODOR &amp; ANOR. V. GOVERNOR OF IMO STATE &amp; ORS. (2020) LPELR – 51439; C.B.N V. HYDRO AIR PTY LTD. (2014) 16 NWLR (PART. 1434) 482 AT 489; C.B.N V. BAKO (2021) 11 NWLR (PART. 1786) 122; C.B.N V. INTERSTELLA COMMUNICATION</w:t>
      </w:r>
      <w:r w:rsidR="009F1518" w:rsidRPr="00F21685">
        <w:rPr>
          <w:rFonts w:ascii="Verdana" w:hAnsi="Verdana"/>
        </w:rPr>
        <w:t xml:space="preserve">S </w:t>
      </w:r>
      <w:r w:rsidR="009F1518" w:rsidRPr="00F21685">
        <w:rPr>
          <w:rFonts w:ascii="Verdana" w:hAnsi="Verdana"/>
        </w:rPr>
        <w:lastRenderedPageBreak/>
        <w:t xml:space="preserve">LTD. (2018) 7 NWLR (PART 1618) 294, </w:t>
      </w:r>
      <w:r w:rsidR="00B52785" w:rsidRPr="00F21685">
        <w:rPr>
          <w:rFonts w:ascii="Verdana" w:hAnsi="Verdana"/>
        </w:rPr>
        <w:t>etc.</w:t>
      </w:r>
      <w:r w:rsidR="002D5A71">
        <w:rPr>
          <w:rFonts w:ascii="Verdana" w:hAnsi="Verdana"/>
        </w:rPr>
        <w:t xml:space="preserve"> He therefore urged the court to grant</w:t>
      </w:r>
      <w:r w:rsidR="00736112">
        <w:rPr>
          <w:rFonts w:ascii="Verdana" w:hAnsi="Verdana"/>
        </w:rPr>
        <w:t xml:space="preserve"> h</w:t>
      </w:r>
      <w:r w:rsidR="002D5A71">
        <w:rPr>
          <w:rFonts w:ascii="Verdana" w:hAnsi="Verdana"/>
        </w:rPr>
        <w:t>is application in the interest of justice.</w:t>
      </w:r>
      <w:r w:rsidR="00555635" w:rsidRPr="00F21685">
        <w:rPr>
          <w:rFonts w:ascii="Verdana" w:hAnsi="Verdana"/>
        </w:rPr>
        <w:t xml:space="preserve"> </w:t>
      </w:r>
    </w:p>
    <w:p w14:paraId="5F6CD7A4" w14:textId="77777777" w:rsidR="0002788B" w:rsidRPr="00F21685" w:rsidRDefault="0002788B" w:rsidP="006962A9">
      <w:pPr>
        <w:pStyle w:val="ListParagraph"/>
        <w:ind w:left="142"/>
        <w:rPr>
          <w:rFonts w:ascii="Verdana" w:hAnsi="Verdana"/>
        </w:rPr>
      </w:pPr>
    </w:p>
    <w:p w14:paraId="6D998EDC" w14:textId="454EE1C5" w:rsidR="009F1518" w:rsidRPr="00F21685" w:rsidRDefault="0002788B"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Learned counsel for the judgment creditor/respondent, in paragraph D1 of his written submission</w:t>
      </w:r>
      <w:r w:rsidR="00414752">
        <w:rPr>
          <w:rFonts w:ascii="Verdana" w:hAnsi="Verdana"/>
        </w:rPr>
        <w:t>s,</w:t>
      </w:r>
      <w:r w:rsidRPr="00F21685">
        <w:rPr>
          <w:rFonts w:ascii="Verdana" w:hAnsi="Verdana"/>
        </w:rPr>
        <w:t xml:space="preserve"> </w:t>
      </w:r>
      <w:r w:rsidR="00414752">
        <w:rPr>
          <w:rFonts w:ascii="Verdana" w:hAnsi="Verdana"/>
        </w:rPr>
        <w:t>stressed on</w:t>
      </w:r>
      <w:r w:rsidRPr="00F21685">
        <w:rPr>
          <w:rFonts w:ascii="Verdana" w:hAnsi="Verdana"/>
        </w:rPr>
        <w:t xml:space="preserve"> the meaning of the term, ‘public officer’ as used in section 84 of the SCPA </w:t>
      </w:r>
      <w:r w:rsidR="00414752">
        <w:rPr>
          <w:rFonts w:ascii="Verdana" w:hAnsi="Verdana"/>
        </w:rPr>
        <w:t>to</w:t>
      </w:r>
      <w:r w:rsidRPr="00F21685">
        <w:rPr>
          <w:rFonts w:ascii="Verdana" w:hAnsi="Verdana"/>
        </w:rPr>
        <w:t xml:space="preserve"> submit that the term does not include artificial persons such as the garnishee in the instant case. </w:t>
      </w:r>
      <w:r w:rsidR="001F7304" w:rsidRPr="00F21685">
        <w:rPr>
          <w:rFonts w:ascii="Verdana" w:hAnsi="Verdana"/>
        </w:rPr>
        <w:t xml:space="preserve"> Reliance was placed on the </w:t>
      </w:r>
      <w:r w:rsidR="00BE0A7D">
        <w:rPr>
          <w:rFonts w:ascii="Verdana" w:hAnsi="Verdana"/>
        </w:rPr>
        <w:t>case</w:t>
      </w:r>
      <w:r w:rsidR="001F7304" w:rsidRPr="00F21685">
        <w:rPr>
          <w:rFonts w:ascii="Verdana" w:hAnsi="Verdana"/>
        </w:rPr>
        <w:t xml:space="preserve"> of C.B.N V. NJEMANZE (2015) 4 NWLR (PART. 1449) 276 AT 286 PARA. G.</w:t>
      </w:r>
    </w:p>
    <w:p w14:paraId="370A776C" w14:textId="77777777" w:rsidR="00C72829" w:rsidRPr="00F21685" w:rsidRDefault="00C72829" w:rsidP="006962A9">
      <w:pPr>
        <w:pStyle w:val="ListParagraph"/>
        <w:ind w:left="142"/>
        <w:rPr>
          <w:rFonts w:ascii="Verdana" w:hAnsi="Verdana"/>
        </w:rPr>
      </w:pPr>
    </w:p>
    <w:p w14:paraId="27943A7C" w14:textId="7E9BF0C6" w:rsidR="00C72829" w:rsidRDefault="00BE0A7D" w:rsidP="006962A9">
      <w:pPr>
        <w:pStyle w:val="ListParagraph"/>
        <w:numPr>
          <w:ilvl w:val="0"/>
          <w:numId w:val="3"/>
        </w:numPr>
        <w:spacing w:after="100" w:afterAutospacing="1" w:line="240" w:lineRule="auto"/>
        <w:ind w:left="142" w:firstLine="0"/>
        <w:jc w:val="both"/>
        <w:rPr>
          <w:rFonts w:ascii="Verdana" w:hAnsi="Verdana"/>
        </w:rPr>
      </w:pPr>
      <w:r>
        <w:rPr>
          <w:rFonts w:ascii="Verdana" w:hAnsi="Verdana"/>
        </w:rPr>
        <w:t>He</w:t>
      </w:r>
      <w:r w:rsidR="00C72829" w:rsidRPr="00F21685">
        <w:rPr>
          <w:rFonts w:ascii="Verdana" w:hAnsi="Verdana"/>
        </w:rPr>
        <w:t xml:space="preserve"> further cited the </w:t>
      </w:r>
      <w:r>
        <w:rPr>
          <w:rFonts w:ascii="Verdana" w:hAnsi="Verdana"/>
        </w:rPr>
        <w:t>case</w:t>
      </w:r>
      <w:r w:rsidR="00C72829" w:rsidRPr="00F21685">
        <w:rPr>
          <w:rFonts w:ascii="Verdana" w:hAnsi="Verdana"/>
        </w:rPr>
        <w:t>s of UTAVIE V. THE CAPITAL DEVELOPMENT AUTHORITY (2019)</w:t>
      </w:r>
      <w:r w:rsidR="00532C43" w:rsidRPr="00F21685">
        <w:rPr>
          <w:rFonts w:ascii="Verdana" w:hAnsi="Verdana"/>
        </w:rPr>
        <w:t xml:space="preserve"> </w:t>
      </w:r>
      <w:r w:rsidR="00C72829" w:rsidRPr="00F21685">
        <w:rPr>
          <w:rFonts w:ascii="Verdana" w:hAnsi="Verdana"/>
        </w:rPr>
        <w:t>LPELR-49095 (CA);</w:t>
      </w:r>
      <w:r w:rsidR="00E74903" w:rsidRPr="00F21685">
        <w:rPr>
          <w:rFonts w:ascii="Verdana" w:hAnsi="Verdana"/>
        </w:rPr>
        <w:t xml:space="preserve"> </w:t>
      </w:r>
      <w:r w:rsidR="00C72829" w:rsidRPr="00F21685">
        <w:rPr>
          <w:rFonts w:ascii="Verdana" w:hAnsi="Verdana"/>
        </w:rPr>
        <w:t>PURIFICATION TECHNIQUES LTD V. A.G LAGOS STATE (2004) 9 NWLR (PART. 879) 665; C.B.N V. INTERSTELLA COMMUNICATIONS LTD. (SUPRA) to submit in all that the garnishee in this suit is not a public officer and could not have necessarily warranted the consent of the attorney general of Imo State in accordance with section 84 of the SCPA</w:t>
      </w:r>
      <w:r w:rsidR="00D65CA2">
        <w:rPr>
          <w:rFonts w:ascii="Verdana" w:hAnsi="Verdana"/>
        </w:rPr>
        <w:t xml:space="preserve"> before the funds in </w:t>
      </w:r>
      <w:r w:rsidR="00390A2F">
        <w:rPr>
          <w:rFonts w:ascii="Verdana" w:hAnsi="Verdana"/>
        </w:rPr>
        <w:t>its</w:t>
      </w:r>
      <w:r w:rsidR="00D65CA2">
        <w:rPr>
          <w:rFonts w:ascii="Verdana" w:hAnsi="Verdana"/>
        </w:rPr>
        <w:t xml:space="preserve"> possession, can be garnished</w:t>
      </w:r>
      <w:r w:rsidR="00C72829" w:rsidRPr="00F21685">
        <w:rPr>
          <w:rFonts w:ascii="Verdana" w:hAnsi="Verdana"/>
        </w:rPr>
        <w:t>.</w:t>
      </w:r>
      <w:r w:rsidR="006E479B">
        <w:rPr>
          <w:rFonts w:ascii="Verdana" w:hAnsi="Verdana"/>
        </w:rPr>
        <w:t xml:space="preserve"> Learned counsel urged the court to dismiss the application.</w:t>
      </w:r>
    </w:p>
    <w:p w14:paraId="471992D5" w14:textId="77777777" w:rsidR="00736112" w:rsidRPr="00736112" w:rsidRDefault="00736112" w:rsidP="00736112">
      <w:pPr>
        <w:pStyle w:val="ListParagraph"/>
        <w:rPr>
          <w:rFonts w:ascii="Verdana" w:hAnsi="Verdana"/>
        </w:rPr>
      </w:pPr>
    </w:p>
    <w:p w14:paraId="7C946F20" w14:textId="16DC9E9B" w:rsidR="00C72829" w:rsidRPr="00736112" w:rsidRDefault="00736112" w:rsidP="00736112">
      <w:pPr>
        <w:pStyle w:val="ListParagraph"/>
        <w:spacing w:after="100" w:afterAutospacing="1" w:line="240" w:lineRule="auto"/>
        <w:ind w:left="142"/>
        <w:jc w:val="center"/>
        <w:rPr>
          <w:rFonts w:ascii="Verdana" w:hAnsi="Verdana"/>
          <w:b/>
          <w:bCs/>
          <w:sz w:val="21"/>
          <w:szCs w:val="21"/>
          <w:u w:val="single"/>
        </w:rPr>
      </w:pPr>
      <w:r w:rsidRPr="00736112">
        <w:rPr>
          <w:rFonts w:ascii="Verdana" w:hAnsi="Verdana"/>
          <w:b/>
          <w:bCs/>
          <w:sz w:val="21"/>
          <w:szCs w:val="21"/>
          <w:u w:val="single"/>
        </w:rPr>
        <w:t>COURT’S DECISION:</w:t>
      </w:r>
    </w:p>
    <w:p w14:paraId="03AFD4AE" w14:textId="45846AEE" w:rsidR="00B53884" w:rsidRDefault="00E7490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 must at this stage observe </w:t>
      </w:r>
      <w:r w:rsidR="00C42097">
        <w:rPr>
          <w:rFonts w:ascii="Verdana" w:hAnsi="Verdana"/>
        </w:rPr>
        <w:t>o</w:t>
      </w:r>
      <w:r w:rsidRPr="00F21685">
        <w:rPr>
          <w:rFonts w:ascii="Verdana" w:hAnsi="Verdana"/>
        </w:rPr>
        <w:t>n a ligh</w:t>
      </w:r>
      <w:r w:rsidR="00C42097">
        <w:rPr>
          <w:rFonts w:ascii="Verdana" w:hAnsi="Verdana"/>
        </w:rPr>
        <w:t>t</w:t>
      </w:r>
      <w:r w:rsidRPr="00F21685">
        <w:rPr>
          <w:rFonts w:ascii="Verdana" w:hAnsi="Verdana"/>
        </w:rPr>
        <w:t xml:space="preserve"> note that </w:t>
      </w:r>
      <w:r w:rsidR="00C42097">
        <w:rPr>
          <w:rFonts w:ascii="Verdana" w:hAnsi="Verdana"/>
        </w:rPr>
        <w:t xml:space="preserve">fortunately </w:t>
      </w:r>
      <w:r w:rsidRPr="00F21685">
        <w:rPr>
          <w:rFonts w:ascii="Verdana" w:hAnsi="Verdana"/>
        </w:rPr>
        <w:t>the issue in this current application is not novel, as authorities of the apex and the appellate court</w:t>
      </w:r>
      <w:r w:rsidR="00693010">
        <w:rPr>
          <w:rFonts w:ascii="Verdana" w:hAnsi="Verdana"/>
        </w:rPr>
        <w:t>s</w:t>
      </w:r>
      <w:r w:rsidRPr="00F21685">
        <w:rPr>
          <w:rFonts w:ascii="Verdana" w:hAnsi="Verdana"/>
        </w:rPr>
        <w:t xml:space="preserve"> are </w:t>
      </w:r>
      <w:r w:rsidR="00617FE8" w:rsidRPr="00F21685">
        <w:rPr>
          <w:rFonts w:ascii="Verdana" w:hAnsi="Verdana"/>
        </w:rPr>
        <w:t>ubiquitous</w:t>
      </w:r>
      <w:r w:rsidRPr="00F21685">
        <w:rPr>
          <w:rFonts w:ascii="Verdana" w:hAnsi="Verdana"/>
        </w:rPr>
        <w:t xml:space="preserve"> from time</w:t>
      </w:r>
      <w:r w:rsidR="00693010">
        <w:rPr>
          <w:rFonts w:ascii="Verdana" w:hAnsi="Verdana"/>
        </w:rPr>
        <w:t xml:space="preserve"> immemorial</w:t>
      </w:r>
      <w:r w:rsidR="00B53884">
        <w:rPr>
          <w:rFonts w:ascii="Verdana" w:hAnsi="Verdana"/>
        </w:rPr>
        <w:t>,</w:t>
      </w:r>
      <w:r w:rsidRPr="00F21685">
        <w:rPr>
          <w:rFonts w:ascii="Verdana" w:hAnsi="Verdana"/>
        </w:rPr>
        <w:t xml:space="preserve"> which</w:t>
      </w:r>
      <w:r w:rsidR="00B53884">
        <w:rPr>
          <w:rFonts w:ascii="Verdana" w:hAnsi="Verdana"/>
        </w:rPr>
        <w:t xml:space="preserve"> already</w:t>
      </w:r>
      <w:r w:rsidRPr="00F21685">
        <w:rPr>
          <w:rFonts w:ascii="Verdana" w:hAnsi="Verdana"/>
        </w:rPr>
        <w:t xml:space="preserve"> expound</w:t>
      </w:r>
      <w:r w:rsidR="00B53884">
        <w:rPr>
          <w:rFonts w:ascii="Verdana" w:hAnsi="Verdana"/>
        </w:rPr>
        <w:t>ed</w:t>
      </w:r>
      <w:r w:rsidRPr="00F21685">
        <w:rPr>
          <w:rFonts w:ascii="Verdana" w:hAnsi="Verdana"/>
        </w:rPr>
        <w:t xml:space="preserve"> </w:t>
      </w:r>
      <w:r w:rsidR="00807BC9">
        <w:rPr>
          <w:rFonts w:ascii="Verdana" w:hAnsi="Verdana"/>
        </w:rPr>
        <w:t xml:space="preserve">on </w:t>
      </w:r>
      <w:r w:rsidR="007E59A1" w:rsidRPr="00F21685">
        <w:rPr>
          <w:rFonts w:ascii="Verdana" w:hAnsi="Verdana"/>
        </w:rPr>
        <w:t>the nature and</w:t>
      </w:r>
      <w:r w:rsidR="00B53884">
        <w:rPr>
          <w:rFonts w:ascii="Verdana" w:hAnsi="Verdana"/>
        </w:rPr>
        <w:t xml:space="preserve"> the</w:t>
      </w:r>
      <w:r w:rsidR="007E59A1" w:rsidRPr="00F21685">
        <w:rPr>
          <w:rFonts w:ascii="Verdana" w:hAnsi="Verdana"/>
        </w:rPr>
        <w:t xml:space="preserve"> application of section 84 of the Sheriff and Civil Process Act 2004.  </w:t>
      </w:r>
    </w:p>
    <w:p w14:paraId="0B7EBA95" w14:textId="77777777" w:rsidR="00B53884" w:rsidRPr="00B53884" w:rsidRDefault="00B53884" w:rsidP="00B53884">
      <w:pPr>
        <w:pStyle w:val="ListParagraph"/>
        <w:rPr>
          <w:rFonts w:ascii="Verdana" w:hAnsi="Verdana"/>
        </w:rPr>
      </w:pPr>
    </w:p>
    <w:p w14:paraId="657814C9" w14:textId="53534D74" w:rsidR="00532C43" w:rsidRPr="00F21685" w:rsidRDefault="007E59A1"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F</w:t>
      </w:r>
      <w:r w:rsidR="009E7BA4" w:rsidRPr="00F21685">
        <w:rPr>
          <w:rFonts w:ascii="Verdana" w:hAnsi="Verdana"/>
        </w:rPr>
        <w:t>o</w:t>
      </w:r>
      <w:r w:rsidRPr="00F21685">
        <w:rPr>
          <w:rFonts w:ascii="Verdana" w:hAnsi="Verdana"/>
        </w:rPr>
        <w:t>r the avoidance of doub</w:t>
      </w:r>
      <w:r w:rsidR="00807BC9">
        <w:rPr>
          <w:rFonts w:ascii="Verdana" w:hAnsi="Verdana"/>
        </w:rPr>
        <w:t>t</w:t>
      </w:r>
      <w:r w:rsidR="009E7BA4" w:rsidRPr="00F21685">
        <w:rPr>
          <w:rFonts w:ascii="Verdana" w:hAnsi="Verdana"/>
        </w:rPr>
        <w:t xml:space="preserve"> and </w:t>
      </w:r>
      <w:r w:rsidR="00B53884">
        <w:rPr>
          <w:rFonts w:ascii="Verdana" w:hAnsi="Verdana"/>
        </w:rPr>
        <w:t>for</w:t>
      </w:r>
      <w:r w:rsidR="009E7BA4" w:rsidRPr="00F21685">
        <w:rPr>
          <w:rFonts w:ascii="Verdana" w:hAnsi="Verdana"/>
        </w:rPr>
        <w:t xml:space="preserve"> clarity of emphasis</w:t>
      </w:r>
      <w:r w:rsidR="00B53884">
        <w:rPr>
          <w:rFonts w:ascii="Verdana" w:hAnsi="Verdana"/>
        </w:rPr>
        <w:t>,</w:t>
      </w:r>
      <w:r w:rsidRPr="00F21685">
        <w:rPr>
          <w:rFonts w:ascii="Verdana" w:hAnsi="Verdana"/>
        </w:rPr>
        <w:t xml:space="preserve"> I shall reproduce the said section 84 of the SCPA as follows:</w:t>
      </w:r>
    </w:p>
    <w:p w14:paraId="4AC24E17" w14:textId="77777777" w:rsidR="007E59A1" w:rsidRPr="00F21685" w:rsidRDefault="007E59A1" w:rsidP="006962A9">
      <w:pPr>
        <w:pStyle w:val="ListParagraph"/>
        <w:ind w:left="142"/>
        <w:rPr>
          <w:rFonts w:ascii="Verdana" w:hAnsi="Verdana"/>
        </w:rPr>
      </w:pPr>
    </w:p>
    <w:p w14:paraId="1B3AB7DA" w14:textId="7B6A2540" w:rsidR="007E59A1" w:rsidRPr="00F21685" w:rsidRDefault="007E59A1" w:rsidP="00C0588B">
      <w:pPr>
        <w:pStyle w:val="ListParagraph"/>
        <w:spacing w:after="100" w:afterAutospacing="1" w:line="240" w:lineRule="auto"/>
        <w:ind w:right="740"/>
        <w:jc w:val="both"/>
        <w:rPr>
          <w:rFonts w:ascii="Verdana" w:hAnsi="Verdana"/>
        </w:rPr>
      </w:pPr>
      <w:r w:rsidRPr="00F21685">
        <w:rPr>
          <w:rFonts w:ascii="Verdana" w:hAnsi="Verdana"/>
        </w:rPr>
        <w:t>“84</w:t>
      </w:r>
      <w:r w:rsidR="00DC4367">
        <w:rPr>
          <w:rFonts w:ascii="Verdana" w:hAnsi="Verdana"/>
        </w:rPr>
        <w:t xml:space="preserve"> </w:t>
      </w:r>
      <w:r w:rsidRPr="00F21685">
        <w:rPr>
          <w:rFonts w:ascii="Verdana" w:hAnsi="Verdana"/>
        </w:rPr>
        <w:t>(1). Whe</w:t>
      </w:r>
      <w:r w:rsidR="00555635" w:rsidRPr="00F21685">
        <w:rPr>
          <w:rFonts w:ascii="Verdana" w:hAnsi="Verdana"/>
        </w:rPr>
        <w:t>re</w:t>
      </w:r>
      <w:r w:rsidRPr="00F21685">
        <w:rPr>
          <w:rFonts w:ascii="Verdana" w:hAnsi="Verdana"/>
        </w:rPr>
        <w:t xml:space="preserve"> money liable to be at</w:t>
      </w:r>
      <w:r w:rsidR="00555635" w:rsidRPr="00F21685">
        <w:rPr>
          <w:rFonts w:ascii="Verdana" w:hAnsi="Verdana"/>
        </w:rPr>
        <w:t>tached by garnishee proceedings is in the custody or under the control of a public officer in his official capacity or in custodial egis, the order nisi shall not be made under the provisions of the last preceding section unless consent to such attachment is first obtained from the appropriate officer in the case of money in the custody or control of a public officer or of the court in the case of money in custodial egis, as the case may be.”</w:t>
      </w:r>
    </w:p>
    <w:p w14:paraId="36ABE476" w14:textId="77777777" w:rsidR="00532C43" w:rsidRPr="00F21685" w:rsidRDefault="00532C43" w:rsidP="006962A9">
      <w:pPr>
        <w:pStyle w:val="ListParagraph"/>
        <w:ind w:left="142"/>
        <w:rPr>
          <w:rFonts w:ascii="Verdana" w:hAnsi="Verdana"/>
        </w:rPr>
      </w:pPr>
    </w:p>
    <w:p w14:paraId="13A124C3" w14:textId="211DD616" w:rsidR="005672AB" w:rsidRDefault="00923F8A"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 </w:t>
      </w:r>
      <w:r w:rsidR="009B58C4">
        <w:rPr>
          <w:rFonts w:ascii="Verdana" w:hAnsi="Verdana"/>
        </w:rPr>
        <w:t>find</w:t>
      </w:r>
      <w:r w:rsidR="004C38A9">
        <w:rPr>
          <w:rFonts w:ascii="Verdana" w:hAnsi="Verdana"/>
        </w:rPr>
        <w:t>,</w:t>
      </w:r>
      <w:r w:rsidRPr="00F21685">
        <w:rPr>
          <w:rFonts w:ascii="Verdana" w:hAnsi="Verdana"/>
        </w:rPr>
        <w:t xml:space="preserve"> as a</w:t>
      </w:r>
      <w:r w:rsidR="004C38A9">
        <w:rPr>
          <w:rFonts w:ascii="Verdana" w:hAnsi="Verdana"/>
        </w:rPr>
        <w:t xml:space="preserve"> matter of</w:t>
      </w:r>
      <w:r w:rsidRPr="00F21685">
        <w:rPr>
          <w:rFonts w:ascii="Verdana" w:hAnsi="Verdana"/>
        </w:rPr>
        <w:t xml:space="preserve"> fact</w:t>
      </w:r>
      <w:r w:rsidR="004C38A9">
        <w:rPr>
          <w:rFonts w:ascii="Verdana" w:hAnsi="Verdana"/>
        </w:rPr>
        <w:t>,</w:t>
      </w:r>
      <w:r w:rsidRPr="00F21685">
        <w:rPr>
          <w:rFonts w:ascii="Verdana" w:hAnsi="Verdana"/>
        </w:rPr>
        <w:t xml:space="preserve"> that the question of whether the garnishee in the instant suit (Zenith Bank Plc)</w:t>
      </w:r>
      <w:r w:rsidR="004C38A9">
        <w:rPr>
          <w:rFonts w:ascii="Verdana" w:hAnsi="Verdana"/>
        </w:rPr>
        <w:t>,</w:t>
      </w:r>
      <w:r w:rsidRPr="00F21685">
        <w:rPr>
          <w:rFonts w:ascii="Verdana" w:hAnsi="Verdana"/>
        </w:rPr>
        <w:t xml:space="preserve"> </w:t>
      </w:r>
      <w:r w:rsidR="00125682">
        <w:rPr>
          <w:rFonts w:ascii="Verdana" w:hAnsi="Verdana"/>
        </w:rPr>
        <w:t xml:space="preserve">is </w:t>
      </w:r>
      <w:r w:rsidR="00526DF1" w:rsidRPr="00F21685">
        <w:rPr>
          <w:rFonts w:ascii="Verdana" w:hAnsi="Verdana"/>
        </w:rPr>
        <w:t xml:space="preserve">a public officer </w:t>
      </w:r>
      <w:r w:rsidRPr="00F21685">
        <w:rPr>
          <w:rFonts w:ascii="Verdana" w:hAnsi="Verdana"/>
        </w:rPr>
        <w:t>or not</w:t>
      </w:r>
      <w:r w:rsidR="00125682">
        <w:rPr>
          <w:rFonts w:ascii="Verdana" w:hAnsi="Verdana"/>
        </w:rPr>
        <w:t>,</w:t>
      </w:r>
      <w:r w:rsidRPr="00F21685">
        <w:rPr>
          <w:rFonts w:ascii="Verdana" w:hAnsi="Verdana"/>
        </w:rPr>
        <w:t xml:space="preserve"> is clearly not in dispute</w:t>
      </w:r>
      <w:r w:rsidR="009E7BA4" w:rsidRPr="00F21685">
        <w:rPr>
          <w:rFonts w:ascii="Verdana" w:hAnsi="Verdana"/>
        </w:rPr>
        <w:t xml:space="preserve"> as these parties acknowledge harmoniously that the garnishee herein is a commercial </w:t>
      </w:r>
      <w:r w:rsidR="00992C64" w:rsidRPr="00F21685">
        <w:rPr>
          <w:rFonts w:ascii="Verdana" w:hAnsi="Verdana"/>
        </w:rPr>
        <w:t>bank,</w:t>
      </w:r>
      <w:r w:rsidR="00D57C46" w:rsidRPr="00F21685">
        <w:rPr>
          <w:rFonts w:ascii="Verdana" w:hAnsi="Verdana"/>
        </w:rPr>
        <w:t xml:space="preserve"> and </w:t>
      </w:r>
      <w:r w:rsidR="00827DCD">
        <w:rPr>
          <w:rFonts w:ascii="Verdana" w:hAnsi="Verdana"/>
        </w:rPr>
        <w:t xml:space="preserve">the </w:t>
      </w:r>
      <w:r w:rsidR="00D57C46" w:rsidRPr="00F21685">
        <w:rPr>
          <w:rFonts w:ascii="Verdana" w:hAnsi="Verdana"/>
        </w:rPr>
        <w:t>same bank is in custody of the judgment debtors</w:t>
      </w:r>
      <w:r w:rsidR="00867EF1">
        <w:rPr>
          <w:rFonts w:ascii="Verdana" w:hAnsi="Verdana"/>
        </w:rPr>
        <w:t>’</w:t>
      </w:r>
      <w:r w:rsidR="00D57C46" w:rsidRPr="00F21685">
        <w:rPr>
          <w:rFonts w:ascii="Verdana" w:hAnsi="Verdana"/>
        </w:rPr>
        <w:t>/applicants’ money</w:t>
      </w:r>
      <w:r w:rsidRPr="00F21685">
        <w:rPr>
          <w:rFonts w:ascii="Verdana" w:hAnsi="Verdana"/>
        </w:rPr>
        <w:t xml:space="preserve">. </w:t>
      </w:r>
    </w:p>
    <w:p w14:paraId="723AF527" w14:textId="77777777" w:rsidR="005672AB" w:rsidRDefault="005672AB" w:rsidP="005672AB">
      <w:pPr>
        <w:pStyle w:val="ListParagraph"/>
        <w:spacing w:after="100" w:afterAutospacing="1" w:line="240" w:lineRule="auto"/>
        <w:ind w:left="142"/>
        <w:jc w:val="both"/>
        <w:rPr>
          <w:rFonts w:ascii="Verdana" w:hAnsi="Verdana"/>
        </w:rPr>
      </w:pPr>
    </w:p>
    <w:p w14:paraId="7B685A88" w14:textId="0E6949CB" w:rsidR="00555635" w:rsidRPr="00F21685" w:rsidRDefault="00923F8A"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What I decipher to be the seed of discord is contained in paragraph 5 of the judgment debtors</w:t>
      </w:r>
      <w:r w:rsidR="00867EF1">
        <w:rPr>
          <w:rFonts w:ascii="Verdana" w:hAnsi="Verdana"/>
        </w:rPr>
        <w:t>’</w:t>
      </w:r>
      <w:r w:rsidRPr="00F21685">
        <w:rPr>
          <w:rFonts w:ascii="Verdana" w:hAnsi="Verdana"/>
        </w:rPr>
        <w:t xml:space="preserve">/applicants’ </w:t>
      </w:r>
      <w:r w:rsidR="0049401A">
        <w:rPr>
          <w:rFonts w:ascii="Verdana" w:hAnsi="Verdana"/>
        </w:rPr>
        <w:t>a</w:t>
      </w:r>
      <w:r w:rsidRPr="00F21685">
        <w:rPr>
          <w:rFonts w:ascii="Verdana" w:hAnsi="Verdana"/>
        </w:rPr>
        <w:t xml:space="preserve">ffidavit, which reads thus: “that I know as a fact that the account being sought to be garnisheed is under the control of the Accountant General of Imo State though domiciled in the </w:t>
      </w:r>
      <w:r w:rsidR="0049401A">
        <w:rPr>
          <w:rFonts w:ascii="Verdana" w:hAnsi="Verdana"/>
        </w:rPr>
        <w:t>g</w:t>
      </w:r>
      <w:r w:rsidRPr="00F21685">
        <w:rPr>
          <w:rFonts w:ascii="Verdana" w:hAnsi="Verdana"/>
        </w:rPr>
        <w:t xml:space="preserve">arnishee </w:t>
      </w:r>
      <w:r w:rsidR="0049401A">
        <w:rPr>
          <w:rFonts w:ascii="Verdana" w:hAnsi="Verdana"/>
        </w:rPr>
        <w:t>b</w:t>
      </w:r>
      <w:r w:rsidRPr="00F21685">
        <w:rPr>
          <w:rFonts w:ascii="Verdana" w:hAnsi="Verdana"/>
        </w:rPr>
        <w:t xml:space="preserve">ank”. </w:t>
      </w:r>
      <w:r w:rsidR="009E7BA4" w:rsidRPr="00F21685">
        <w:rPr>
          <w:rFonts w:ascii="Verdana" w:hAnsi="Verdana"/>
        </w:rPr>
        <w:t xml:space="preserve">It is also worthy of mention that the respondent  maintains that the money sought to be attached is in the custody or control of the garnishee </w:t>
      </w:r>
      <w:r w:rsidR="002F2C7D" w:rsidRPr="00F21685">
        <w:rPr>
          <w:rFonts w:ascii="Verdana" w:hAnsi="Verdana"/>
        </w:rPr>
        <w:t xml:space="preserve">– </w:t>
      </w:r>
      <w:r w:rsidR="005E5544">
        <w:rPr>
          <w:rFonts w:ascii="Verdana" w:hAnsi="Verdana"/>
        </w:rPr>
        <w:t xml:space="preserve">see </w:t>
      </w:r>
      <w:r w:rsidR="002F2C7D" w:rsidRPr="00F21685">
        <w:rPr>
          <w:rFonts w:ascii="Verdana" w:hAnsi="Verdana"/>
        </w:rPr>
        <w:t>paragraph 4(</w:t>
      </w:r>
      <w:proofErr w:type="spellStart"/>
      <w:r w:rsidR="002F2C7D" w:rsidRPr="00F21685">
        <w:rPr>
          <w:rFonts w:ascii="Verdana" w:hAnsi="Verdana"/>
        </w:rPr>
        <w:t>i</w:t>
      </w:r>
      <w:proofErr w:type="spellEnd"/>
      <w:r w:rsidR="002F2C7D" w:rsidRPr="00F21685">
        <w:rPr>
          <w:rFonts w:ascii="Verdana" w:hAnsi="Verdana"/>
        </w:rPr>
        <w:t>)</w:t>
      </w:r>
      <w:r w:rsidR="005E5544">
        <w:rPr>
          <w:rFonts w:ascii="Verdana" w:hAnsi="Verdana"/>
        </w:rPr>
        <w:t xml:space="preserve"> of the</w:t>
      </w:r>
      <w:r w:rsidR="002F2C7D" w:rsidRPr="00F21685">
        <w:rPr>
          <w:rFonts w:ascii="Verdana" w:hAnsi="Verdana"/>
        </w:rPr>
        <w:t xml:space="preserve"> counter affidavit of the judgment creditor/respondent.  </w:t>
      </w:r>
    </w:p>
    <w:p w14:paraId="6D66012C" w14:textId="77777777" w:rsidR="009E7BA4" w:rsidRPr="00F21685" w:rsidRDefault="009E7BA4" w:rsidP="006962A9">
      <w:pPr>
        <w:pStyle w:val="ListParagraph"/>
        <w:spacing w:after="100" w:afterAutospacing="1" w:line="240" w:lineRule="auto"/>
        <w:ind w:left="142"/>
        <w:jc w:val="both"/>
        <w:rPr>
          <w:rFonts w:ascii="Verdana" w:hAnsi="Verdana"/>
        </w:rPr>
      </w:pPr>
    </w:p>
    <w:p w14:paraId="3F8A2A04" w14:textId="4D549BDA" w:rsidR="0053097F" w:rsidRDefault="00D0099E"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The language of the statute under reference is “custody” or ”control”</w:t>
      </w:r>
      <w:r w:rsidR="00E27767" w:rsidRPr="00F21685">
        <w:rPr>
          <w:rFonts w:ascii="Verdana" w:hAnsi="Verdana"/>
        </w:rPr>
        <w:t xml:space="preserve"> are disjunctively stated. I</w:t>
      </w:r>
      <w:r w:rsidRPr="00F21685">
        <w:rPr>
          <w:rFonts w:ascii="Verdana" w:hAnsi="Verdana"/>
        </w:rPr>
        <w:t>t is noticeable that the applicant</w:t>
      </w:r>
      <w:r w:rsidR="00655EA0" w:rsidRPr="00F21685">
        <w:rPr>
          <w:rFonts w:ascii="Verdana" w:hAnsi="Verdana"/>
        </w:rPr>
        <w:t>s</w:t>
      </w:r>
      <w:r w:rsidRPr="00F21685">
        <w:rPr>
          <w:rFonts w:ascii="Verdana" w:hAnsi="Verdana"/>
        </w:rPr>
        <w:t xml:space="preserve"> here carefully used the latter term when they stated in the said paragraph 5 of their affidavit that the money to be attached is under the “control” of the </w:t>
      </w:r>
      <w:r w:rsidR="00BB2699">
        <w:rPr>
          <w:rFonts w:ascii="Verdana" w:hAnsi="Verdana"/>
        </w:rPr>
        <w:t>a</w:t>
      </w:r>
      <w:r w:rsidRPr="00F21685">
        <w:rPr>
          <w:rFonts w:ascii="Verdana" w:hAnsi="Verdana"/>
        </w:rPr>
        <w:t xml:space="preserve">ccountant general of Imo </w:t>
      </w:r>
      <w:r w:rsidR="00BB2699">
        <w:rPr>
          <w:rFonts w:ascii="Verdana" w:hAnsi="Verdana"/>
        </w:rPr>
        <w:lastRenderedPageBreak/>
        <w:t>S</w:t>
      </w:r>
      <w:r w:rsidRPr="00F21685">
        <w:rPr>
          <w:rFonts w:ascii="Verdana" w:hAnsi="Verdana"/>
        </w:rPr>
        <w:t>tate. This calls for the meaning of the term “control of</w:t>
      </w:r>
      <w:r w:rsidR="0053097F">
        <w:rPr>
          <w:rFonts w:ascii="Verdana" w:hAnsi="Verdana"/>
        </w:rPr>
        <w:t>”</w:t>
      </w:r>
      <w:r w:rsidRPr="00F21685">
        <w:rPr>
          <w:rFonts w:ascii="Verdana" w:hAnsi="Verdana"/>
        </w:rPr>
        <w:t xml:space="preserve"> as used in the said section 84 of SCPA.  </w:t>
      </w:r>
    </w:p>
    <w:p w14:paraId="327AAF00" w14:textId="77777777" w:rsidR="0053097F" w:rsidRPr="0053097F" w:rsidRDefault="0053097F" w:rsidP="0053097F">
      <w:pPr>
        <w:pStyle w:val="ListParagraph"/>
        <w:rPr>
          <w:rFonts w:ascii="Verdana" w:hAnsi="Verdana"/>
        </w:rPr>
      </w:pPr>
    </w:p>
    <w:p w14:paraId="7D47F93B" w14:textId="7EADC68A" w:rsidR="0028636E" w:rsidRPr="00F21685" w:rsidRDefault="0053097F"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According to</w:t>
      </w:r>
      <w:r w:rsidR="00172D21" w:rsidRPr="00F21685">
        <w:rPr>
          <w:rFonts w:ascii="Verdana" w:hAnsi="Verdana"/>
        </w:rPr>
        <w:t xml:space="preserve"> </w:t>
      </w:r>
      <w:r>
        <w:rPr>
          <w:rFonts w:ascii="Verdana" w:hAnsi="Verdana"/>
        </w:rPr>
        <w:t xml:space="preserve">the </w:t>
      </w:r>
      <w:r w:rsidR="00172D21" w:rsidRPr="00F21685">
        <w:rPr>
          <w:rFonts w:ascii="Verdana" w:hAnsi="Verdana"/>
        </w:rPr>
        <w:t>Oxford Learner’s</w:t>
      </w:r>
      <w:r w:rsidR="00655EA0" w:rsidRPr="00F21685">
        <w:rPr>
          <w:rFonts w:ascii="Verdana" w:hAnsi="Verdana"/>
        </w:rPr>
        <w:t xml:space="preserve"> dictionary</w:t>
      </w:r>
      <w:r>
        <w:rPr>
          <w:rFonts w:ascii="Verdana" w:hAnsi="Verdana"/>
        </w:rPr>
        <w:t>,</w:t>
      </w:r>
      <w:r w:rsidR="00655EA0" w:rsidRPr="00F21685">
        <w:rPr>
          <w:rFonts w:ascii="Verdana" w:hAnsi="Verdana"/>
        </w:rPr>
        <w:t xml:space="preserve"> the term “control</w:t>
      </w:r>
      <w:r w:rsidR="00661364">
        <w:rPr>
          <w:rFonts w:ascii="Verdana" w:hAnsi="Verdana"/>
        </w:rPr>
        <w:t>”</w:t>
      </w:r>
      <w:r w:rsidR="00655EA0" w:rsidRPr="00F21685">
        <w:rPr>
          <w:rFonts w:ascii="Verdana" w:hAnsi="Verdana"/>
        </w:rPr>
        <w:t xml:space="preserve"> in</w:t>
      </w:r>
      <w:r w:rsidR="00172D21" w:rsidRPr="00F21685">
        <w:rPr>
          <w:rFonts w:ascii="Verdana" w:hAnsi="Verdana"/>
        </w:rPr>
        <w:t xml:space="preserve"> relation to power means: “the power to make de</w:t>
      </w:r>
      <w:r w:rsidR="00655EA0" w:rsidRPr="00F21685">
        <w:rPr>
          <w:rFonts w:ascii="Verdana" w:hAnsi="Verdana"/>
        </w:rPr>
        <w:t>cisions about how a country, an</w:t>
      </w:r>
      <w:r w:rsidR="00172D21" w:rsidRPr="00F21685">
        <w:rPr>
          <w:rFonts w:ascii="Verdana" w:hAnsi="Verdana"/>
        </w:rPr>
        <w:t xml:space="preserve"> area, an organization, </w:t>
      </w:r>
      <w:r w:rsidR="00661364" w:rsidRPr="00F21685">
        <w:rPr>
          <w:rFonts w:ascii="Verdana" w:hAnsi="Verdana"/>
        </w:rPr>
        <w:t>etc.</w:t>
      </w:r>
      <w:r w:rsidR="00172D21" w:rsidRPr="00F21685">
        <w:rPr>
          <w:rFonts w:ascii="Verdana" w:hAnsi="Verdana"/>
        </w:rPr>
        <w:t xml:space="preserve"> is run”. Suffice to say that in t</w:t>
      </w:r>
      <w:r w:rsidR="00E27767" w:rsidRPr="00F21685">
        <w:rPr>
          <w:rFonts w:ascii="Verdana" w:hAnsi="Verdana"/>
        </w:rPr>
        <w:t>he spirit of section 84, the m</w:t>
      </w:r>
      <w:r w:rsidR="00172D21" w:rsidRPr="00F21685">
        <w:rPr>
          <w:rFonts w:ascii="Verdana" w:hAnsi="Verdana"/>
        </w:rPr>
        <w:t xml:space="preserve">oney sought to be attached must be in the custody of a public officer or </w:t>
      </w:r>
      <w:r w:rsidR="00E27767" w:rsidRPr="00F21685">
        <w:rPr>
          <w:rFonts w:ascii="Verdana" w:hAnsi="Verdana"/>
        </w:rPr>
        <w:t>controlled by a public officer who has power to decide how the account is run.</w:t>
      </w:r>
    </w:p>
    <w:p w14:paraId="4D313D33" w14:textId="77777777" w:rsidR="0028636E" w:rsidRPr="00F21685" w:rsidRDefault="0028636E" w:rsidP="006962A9">
      <w:pPr>
        <w:pStyle w:val="ListParagraph"/>
        <w:ind w:left="142"/>
        <w:rPr>
          <w:rFonts w:ascii="Verdana" w:hAnsi="Verdana"/>
        </w:rPr>
      </w:pPr>
    </w:p>
    <w:p w14:paraId="7505B59A" w14:textId="66077AA5" w:rsidR="00E27767" w:rsidRPr="00F21685" w:rsidRDefault="00F41A15"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It is apposite to lay bare the position that the accountant general of Imo </w:t>
      </w:r>
      <w:r w:rsidR="00C54AE9">
        <w:rPr>
          <w:rFonts w:ascii="Verdana" w:hAnsi="Verdana"/>
        </w:rPr>
        <w:t>S</w:t>
      </w:r>
      <w:r w:rsidRPr="00F21685">
        <w:rPr>
          <w:rFonts w:ascii="Verdana" w:hAnsi="Verdana"/>
        </w:rPr>
        <w:t xml:space="preserve">tate qualifies as a public officer </w:t>
      </w:r>
      <w:r w:rsidR="0062141B">
        <w:rPr>
          <w:rFonts w:ascii="Verdana" w:hAnsi="Verdana"/>
        </w:rPr>
        <w:t>in virtue</w:t>
      </w:r>
      <w:r w:rsidRPr="00F21685">
        <w:rPr>
          <w:rFonts w:ascii="Verdana" w:hAnsi="Verdana"/>
        </w:rPr>
        <w:t xml:space="preserve"> of section 318</w:t>
      </w:r>
      <w:r w:rsidR="002E60B6">
        <w:rPr>
          <w:rFonts w:ascii="Verdana" w:hAnsi="Verdana"/>
        </w:rPr>
        <w:t xml:space="preserve"> </w:t>
      </w:r>
      <w:r w:rsidRPr="00F21685">
        <w:rPr>
          <w:rFonts w:ascii="Verdana" w:hAnsi="Verdana"/>
        </w:rPr>
        <w:t>(1)</w:t>
      </w:r>
      <w:r w:rsidR="002E60B6">
        <w:rPr>
          <w:rFonts w:ascii="Verdana" w:hAnsi="Verdana"/>
        </w:rPr>
        <w:t xml:space="preserve"> </w:t>
      </w:r>
      <w:r w:rsidRPr="00F21685">
        <w:rPr>
          <w:rFonts w:ascii="Verdana" w:hAnsi="Verdana"/>
        </w:rPr>
        <w:t xml:space="preserve">(b) of the Constitution of the Federal Republic of Nigeria 1999 (as amended). However, </w:t>
      </w:r>
      <w:r w:rsidR="0062141B">
        <w:rPr>
          <w:rFonts w:ascii="Verdana" w:hAnsi="Verdana"/>
        </w:rPr>
        <w:t>c</w:t>
      </w:r>
      <w:r w:rsidR="00E27767" w:rsidRPr="00F21685">
        <w:rPr>
          <w:rFonts w:ascii="Verdana" w:hAnsi="Verdana"/>
        </w:rPr>
        <w:t>onspicuously in want</w:t>
      </w:r>
      <w:r w:rsidR="00D57C46" w:rsidRPr="00F21685">
        <w:rPr>
          <w:rFonts w:ascii="Verdana" w:hAnsi="Verdana"/>
        </w:rPr>
        <w:t xml:space="preserve"> in this </w:t>
      </w:r>
      <w:r w:rsidR="00666BE4">
        <w:rPr>
          <w:rFonts w:ascii="Verdana" w:hAnsi="Verdana"/>
        </w:rPr>
        <w:t>application</w:t>
      </w:r>
      <w:r w:rsidR="00E27767" w:rsidRPr="00F21685">
        <w:rPr>
          <w:rFonts w:ascii="Verdana" w:hAnsi="Verdana"/>
        </w:rPr>
        <w:t xml:space="preserve"> is any evidence by the judgment debtor</w:t>
      </w:r>
      <w:r w:rsidR="00D57C46" w:rsidRPr="00F21685">
        <w:rPr>
          <w:rFonts w:ascii="Verdana" w:hAnsi="Verdana"/>
        </w:rPr>
        <w:t>s</w:t>
      </w:r>
      <w:r w:rsidR="00E27767" w:rsidRPr="00F21685">
        <w:rPr>
          <w:rFonts w:ascii="Verdana" w:hAnsi="Verdana"/>
        </w:rPr>
        <w:t>/applicant</w:t>
      </w:r>
      <w:r w:rsidR="00D57C46" w:rsidRPr="00F21685">
        <w:rPr>
          <w:rFonts w:ascii="Verdana" w:hAnsi="Verdana"/>
        </w:rPr>
        <w:t>s</w:t>
      </w:r>
      <w:r w:rsidR="00E27767" w:rsidRPr="00F21685">
        <w:rPr>
          <w:rFonts w:ascii="Verdana" w:hAnsi="Verdana"/>
        </w:rPr>
        <w:t xml:space="preserve"> </w:t>
      </w:r>
      <w:r w:rsidR="00666BE4">
        <w:rPr>
          <w:rFonts w:ascii="Verdana" w:hAnsi="Verdana"/>
        </w:rPr>
        <w:t>establishing</w:t>
      </w:r>
      <w:r w:rsidR="00E27767" w:rsidRPr="00F21685">
        <w:rPr>
          <w:rFonts w:ascii="Verdana" w:hAnsi="Verdana"/>
        </w:rPr>
        <w:t xml:space="preserve"> the claim </w:t>
      </w:r>
      <w:r w:rsidR="00D57C46" w:rsidRPr="00F21685">
        <w:rPr>
          <w:rFonts w:ascii="Verdana" w:hAnsi="Verdana"/>
        </w:rPr>
        <w:t xml:space="preserve">that the money sought to be garnisheed is </w:t>
      </w:r>
      <w:r w:rsidR="008701E3">
        <w:rPr>
          <w:rFonts w:ascii="Verdana" w:hAnsi="Verdana"/>
        </w:rPr>
        <w:t xml:space="preserve">actually </w:t>
      </w:r>
      <w:r w:rsidR="00D57C46" w:rsidRPr="00F21685">
        <w:rPr>
          <w:rFonts w:ascii="Verdana" w:hAnsi="Verdana"/>
        </w:rPr>
        <w:t xml:space="preserve">under the control of the accountant general of Imo </w:t>
      </w:r>
      <w:r w:rsidR="00930746">
        <w:rPr>
          <w:rFonts w:ascii="Verdana" w:hAnsi="Verdana"/>
        </w:rPr>
        <w:t>S</w:t>
      </w:r>
      <w:r w:rsidR="00D57C46" w:rsidRPr="00F21685">
        <w:rPr>
          <w:rFonts w:ascii="Verdana" w:hAnsi="Verdana"/>
        </w:rPr>
        <w:t xml:space="preserve">tate. </w:t>
      </w:r>
      <w:r w:rsidR="00930746">
        <w:rPr>
          <w:rFonts w:ascii="Verdana" w:hAnsi="Verdana"/>
        </w:rPr>
        <w:t>This court cannot speculate that it is in the absence of any material evidence.</w:t>
      </w:r>
    </w:p>
    <w:p w14:paraId="7714BA3F" w14:textId="77777777" w:rsidR="0028636E" w:rsidRPr="00F21685" w:rsidRDefault="0028636E" w:rsidP="006962A9">
      <w:pPr>
        <w:pStyle w:val="ListParagraph"/>
        <w:ind w:left="142"/>
        <w:rPr>
          <w:rFonts w:ascii="Verdana" w:hAnsi="Verdana"/>
        </w:rPr>
      </w:pPr>
    </w:p>
    <w:p w14:paraId="7139F2E7" w14:textId="4CDD0FE2" w:rsidR="0028636E" w:rsidRPr="00F21685" w:rsidRDefault="0028636E"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 have stated earlier in this ruling that it is not in dispute that the </w:t>
      </w:r>
      <w:r w:rsidR="009C0CA6" w:rsidRPr="00F21685">
        <w:rPr>
          <w:rFonts w:ascii="Verdana" w:hAnsi="Verdana"/>
        </w:rPr>
        <w:t>garnishee</w:t>
      </w:r>
      <w:r w:rsidR="00F41A15" w:rsidRPr="00F21685">
        <w:rPr>
          <w:rFonts w:ascii="Verdana" w:hAnsi="Verdana"/>
        </w:rPr>
        <w:t xml:space="preserve"> in this suit is a commercial </w:t>
      </w:r>
      <w:r w:rsidR="004871B1" w:rsidRPr="00F21685">
        <w:rPr>
          <w:rFonts w:ascii="Verdana" w:hAnsi="Verdana"/>
        </w:rPr>
        <w:t>bank,</w:t>
      </w:r>
      <w:r w:rsidR="00F41A15" w:rsidRPr="00F21685">
        <w:rPr>
          <w:rFonts w:ascii="Verdana" w:hAnsi="Verdana"/>
        </w:rPr>
        <w:t xml:space="preserve"> and </w:t>
      </w:r>
      <w:r w:rsidR="00930746">
        <w:rPr>
          <w:rFonts w:ascii="Verdana" w:hAnsi="Verdana"/>
        </w:rPr>
        <w:t xml:space="preserve">it </w:t>
      </w:r>
      <w:r w:rsidR="00F41A15" w:rsidRPr="00F21685">
        <w:rPr>
          <w:rFonts w:ascii="Verdana" w:hAnsi="Verdana"/>
        </w:rPr>
        <w:t xml:space="preserve">is not </w:t>
      </w:r>
      <w:r w:rsidR="00510C99">
        <w:rPr>
          <w:rFonts w:ascii="Verdana" w:hAnsi="Verdana"/>
        </w:rPr>
        <w:t xml:space="preserve">a public officer </w:t>
      </w:r>
      <w:r w:rsidR="00F41A15" w:rsidRPr="00F21685">
        <w:rPr>
          <w:rFonts w:ascii="Verdana" w:hAnsi="Verdana"/>
        </w:rPr>
        <w:t>within the legal param</w:t>
      </w:r>
      <w:r w:rsidR="009C0CA6" w:rsidRPr="00F21685">
        <w:rPr>
          <w:rFonts w:ascii="Verdana" w:hAnsi="Verdana"/>
        </w:rPr>
        <w:t>eters of section 84 of the SCPA. N</w:t>
      </w:r>
      <w:r w:rsidR="00F41A15" w:rsidRPr="00F21685">
        <w:rPr>
          <w:rFonts w:ascii="Verdana" w:hAnsi="Verdana"/>
        </w:rPr>
        <w:t>eedless to say th</w:t>
      </w:r>
      <w:r w:rsidR="004871B1">
        <w:rPr>
          <w:rFonts w:ascii="Verdana" w:hAnsi="Verdana"/>
        </w:rPr>
        <w:t>erefore, the</w:t>
      </w:r>
      <w:r w:rsidR="00F41A15" w:rsidRPr="00F21685">
        <w:rPr>
          <w:rFonts w:ascii="Verdana" w:hAnsi="Verdana"/>
        </w:rPr>
        <w:t xml:space="preserve"> garnishee is not a public officer and should ordinarily not</w:t>
      </w:r>
      <w:r w:rsidR="00C47BA3">
        <w:rPr>
          <w:rFonts w:ascii="Verdana" w:hAnsi="Verdana"/>
        </w:rPr>
        <w:t xml:space="preserve"> necessitate</w:t>
      </w:r>
      <w:r w:rsidR="00F41A15" w:rsidRPr="00F21685">
        <w:rPr>
          <w:rFonts w:ascii="Verdana" w:hAnsi="Verdana"/>
        </w:rPr>
        <w:t xml:space="preserve"> the seeking of the consent of the Attorney General before garnishee proceedings can be commenced</w:t>
      </w:r>
      <w:r w:rsidR="000946F6" w:rsidRPr="00F21685">
        <w:rPr>
          <w:rFonts w:ascii="Verdana" w:hAnsi="Verdana"/>
        </w:rPr>
        <w:t xml:space="preserve"> in respect of</w:t>
      </w:r>
      <w:r w:rsidR="00C47BA3">
        <w:rPr>
          <w:rFonts w:ascii="Verdana" w:hAnsi="Verdana"/>
        </w:rPr>
        <w:t xml:space="preserve"> </w:t>
      </w:r>
      <w:r w:rsidR="000946F6" w:rsidRPr="00F21685">
        <w:rPr>
          <w:rFonts w:ascii="Verdana" w:hAnsi="Verdana"/>
        </w:rPr>
        <w:t>the judgment debtors</w:t>
      </w:r>
      <w:r w:rsidR="00C47BA3">
        <w:rPr>
          <w:rFonts w:ascii="Verdana" w:hAnsi="Verdana"/>
        </w:rPr>
        <w:t>’</w:t>
      </w:r>
      <w:r w:rsidR="000A03F3">
        <w:rPr>
          <w:rFonts w:ascii="Verdana" w:hAnsi="Verdana"/>
        </w:rPr>
        <w:t xml:space="preserve"> money</w:t>
      </w:r>
      <w:r w:rsidR="000946F6" w:rsidRPr="00F21685">
        <w:rPr>
          <w:rFonts w:ascii="Verdana" w:hAnsi="Verdana"/>
        </w:rPr>
        <w:t xml:space="preserve"> in its custody –PURIFICATION TECHNIQUES LTD V. A.G LAGOS STATE (SUPRA); C.B.N V. INTERSTELLA COMMUNICATIONS LTD. (SUPRA). </w:t>
      </w:r>
    </w:p>
    <w:p w14:paraId="57287709" w14:textId="77777777" w:rsidR="0028636E" w:rsidRPr="00F21685" w:rsidRDefault="0028636E" w:rsidP="006962A9">
      <w:pPr>
        <w:pStyle w:val="ListParagraph"/>
        <w:ind w:left="142"/>
        <w:rPr>
          <w:rFonts w:ascii="Verdana" w:hAnsi="Verdana"/>
        </w:rPr>
      </w:pPr>
    </w:p>
    <w:p w14:paraId="6A7DE197" w14:textId="38CC8FA1" w:rsidR="00BE3E9E" w:rsidRDefault="009C0CA6"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The apex court</w:t>
      </w:r>
      <w:r w:rsidR="00695C9A">
        <w:rPr>
          <w:rFonts w:ascii="Verdana" w:hAnsi="Verdana"/>
        </w:rPr>
        <w:t>’s</w:t>
      </w:r>
      <w:r w:rsidR="000A03F3">
        <w:rPr>
          <w:rFonts w:ascii="Verdana" w:hAnsi="Verdana"/>
        </w:rPr>
        <w:t xml:space="preserve"> decision</w:t>
      </w:r>
      <w:r w:rsidR="000946F6" w:rsidRPr="00F21685">
        <w:rPr>
          <w:rFonts w:ascii="Verdana" w:hAnsi="Verdana"/>
        </w:rPr>
        <w:t xml:space="preserve"> in C.B.N v. INTERSTELLA COMMUNICATIONS LTD (SUPRA) </w:t>
      </w:r>
      <w:r w:rsidR="00F07436" w:rsidRPr="00F21685">
        <w:rPr>
          <w:rFonts w:ascii="Verdana" w:hAnsi="Verdana"/>
        </w:rPr>
        <w:t>copiously relied on</w:t>
      </w:r>
      <w:r w:rsidRPr="00F21685">
        <w:rPr>
          <w:rFonts w:ascii="Verdana" w:hAnsi="Verdana"/>
        </w:rPr>
        <w:t xml:space="preserve"> b</w:t>
      </w:r>
      <w:r w:rsidR="000A03F3">
        <w:rPr>
          <w:rFonts w:ascii="Verdana" w:hAnsi="Verdana"/>
        </w:rPr>
        <w:t>y</w:t>
      </w:r>
      <w:r w:rsidR="00F07436" w:rsidRPr="00F21685">
        <w:rPr>
          <w:rFonts w:ascii="Verdana" w:hAnsi="Verdana"/>
        </w:rPr>
        <w:t xml:space="preserve"> both parties</w:t>
      </w:r>
      <w:r w:rsidR="000A03F3">
        <w:rPr>
          <w:rFonts w:ascii="Verdana" w:hAnsi="Verdana"/>
        </w:rPr>
        <w:t>’ counsel</w:t>
      </w:r>
      <w:r w:rsidR="00F07436" w:rsidRPr="00F21685">
        <w:rPr>
          <w:rFonts w:ascii="Verdana" w:hAnsi="Verdana"/>
        </w:rPr>
        <w:t xml:space="preserve"> in their submissions </w:t>
      </w:r>
      <w:r w:rsidR="000946F6" w:rsidRPr="00F21685">
        <w:rPr>
          <w:rFonts w:ascii="Verdana" w:hAnsi="Verdana"/>
        </w:rPr>
        <w:t xml:space="preserve">must be contextually applied, as the said decision was made in a purely peculiar circumstance. </w:t>
      </w:r>
      <w:r w:rsidRPr="00F21685">
        <w:rPr>
          <w:rFonts w:ascii="Verdana" w:hAnsi="Verdana"/>
        </w:rPr>
        <w:t>I</w:t>
      </w:r>
      <w:r w:rsidR="00F07436" w:rsidRPr="00F21685">
        <w:rPr>
          <w:rFonts w:ascii="Verdana" w:hAnsi="Verdana"/>
        </w:rPr>
        <w:t>t must be noted that the issue decided in that case by the apex court as relates to section 84 of the SCPA</w:t>
      </w:r>
      <w:r w:rsidR="00807554">
        <w:rPr>
          <w:rFonts w:ascii="Verdana" w:hAnsi="Verdana"/>
        </w:rPr>
        <w:t>,</w:t>
      </w:r>
      <w:r w:rsidR="00F07436" w:rsidRPr="00F21685">
        <w:rPr>
          <w:rFonts w:ascii="Verdana" w:hAnsi="Verdana"/>
        </w:rPr>
        <w:t xml:space="preserve"> is whether the Central Bank of Nigeria is a public </w:t>
      </w:r>
      <w:r w:rsidRPr="00F21685">
        <w:rPr>
          <w:rFonts w:ascii="Verdana" w:hAnsi="Verdana"/>
        </w:rPr>
        <w:t>officer</w:t>
      </w:r>
      <w:r w:rsidR="00F07436" w:rsidRPr="00F21685">
        <w:rPr>
          <w:rFonts w:ascii="Verdana" w:hAnsi="Verdana"/>
        </w:rPr>
        <w:t xml:space="preserve"> for the purpose of the application of section 84 of the SCPA. It should be noted that the said issue was decided by the Supreme</w:t>
      </w:r>
      <w:r w:rsidRPr="00F21685">
        <w:rPr>
          <w:rFonts w:ascii="Verdana" w:hAnsi="Verdana"/>
        </w:rPr>
        <w:t xml:space="preserve"> Court being</w:t>
      </w:r>
      <w:r w:rsidR="00F07436" w:rsidRPr="00F21685">
        <w:rPr>
          <w:rFonts w:ascii="Verdana" w:hAnsi="Verdana"/>
        </w:rPr>
        <w:t xml:space="preserve"> mindful of </w:t>
      </w:r>
      <w:r w:rsidR="002D5C02" w:rsidRPr="00F21685">
        <w:rPr>
          <w:rFonts w:ascii="Verdana" w:hAnsi="Verdana"/>
        </w:rPr>
        <w:t>its</w:t>
      </w:r>
      <w:r w:rsidRPr="00F21685">
        <w:rPr>
          <w:rFonts w:ascii="Verdana" w:hAnsi="Verdana"/>
        </w:rPr>
        <w:t xml:space="preserve"> </w:t>
      </w:r>
      <w:r w:rsidR="00CF0260">
        <w:rPr>
          <w:rFonts w:ascii="Verdana" w:hAnsi="Verdana"/>
        </w:rPr>
        <w:t xml:space="preserve">earlier </w:t>
      </w:r>
      <w:r w:rsidRPr="00F21685">
        <w:rPr>
          <w:rFonts w:ascii="Verdana" w:hAnsi="Verdana"/>
        </w:rPr>
        <w:t>decision in</w:t>
      </w:r>
      <w:r w:rsidR="00F07436" w:rsidRPr="00F21685">
        <w:rPr>
          <w:rFonts w:ascii="Verdana" w:hAnsi="Verdana"/>
        </w:rPr>
        <w:t xml:space="preserve"> other </w:t>
      </w:r>
      <w:r w:rsidR="002D5C02">
        <w:rPr>
          <w:rFonts w:ascii="Verdana" w:hAnsi="Verdana"/>
        </w:rPr>
        <w:t>cases</w:t>
      </w:r>
      <w:r w:rsidR="00F07436" w:rsidRPr="00F21685">
        <w:rPr>
          <w:rFonts w:ascii="Verdana" w:hAnsi="Verdana"/>
        </w:rPr>
        <w:t xml:space="preserve"> such as the case of </w:t>
      </w:r>
      <w:r w:rsidR="00BA5E6A" w:rsidRPr="00F21685">
        <w:rPr>
          <w:rFonts w:ascii="Verdana" w:hAnsi="Verdana"/>
        </w:rPr>
        <w:t>IBRAHIM V. JUDICIAL SERVICE COMMISSION, KADUNA STATE (1998) LPELR-1408 (SC)</w:t>
      </w:r>
      <w:r w:rsidRPr="00F21685">
        <w:rPr>
          <w:rFonts w:ascii="Verdana" w:hAnsi="Verdana"/>
        </w:rPr>
        <w:t xml:space="preserve"> where the CBN was held to be a public officer</w:t>
      </w:r>
      <w:r w:rsidR="00BA5E6A" w:rsidRPr="00F21685">
        <w:rPr>
          <w:rFonts w:ascii="Verdana" w:hAnsi="Verdana"/>
        </w:rPr>
        <w:t>.</w:t>
      </w:r>
      <w:r w:rsidR="00BE3E9E">
        <w:rPr>
          <w:rFonts w:ascii="Verdana" w:hAnsi="Verdana"/>
        </w:rPr>
        <w:t xml:space="preserve"> </w:t>
      </w:r>
    </w:p>
    <w:p w14:paraId="7A444A80" w14:textId="77777777" w:rsidR="00BE3E9E" w:rsidRPr="00BE3E9E" w:rsidRDefault="00BE3E9E" w:rsidP="00BE3E9E">
      <w:pPr>
        <w:pStyle w:val="ListParagraph"/>
        <w:rPr>
          <w:rFonts w:ascii="Verdana" w:hAnsi="Verdana"/>
        </w:rPr>
      </w:pPr>
    </w:p>
    <w:p w14:paraId="466B7C7F" w14:textId="3BB66EC2" w:rsidR="0028636E" w:rsidRPr="00F21685" w:rsidRDefault="00BE3E9E" w:rsidP="006962A9">
      <w:pPr>
        <w:pStyle w:val="ListParagraph"/>
        <w:numPr>
          <w:ilvl w:val="0"/>
          <w:numId w:val="3"/>
        </w:numPr>
        <w:spacing w:after="100" w:afterAutospacing="1" w:line="240" w:lineRule="auto"/>
        <w:ind w:left="142" w:firstLine="0"/>
        <w:jc w:val="both"/>
        <w:rPr>
          <w:rFonts w:ascii="Verdana" w:hAnsi="Verdana"/>
        </w:rPr>
      </w:pPr>
      <w:r>
        <w:rPr>
          <w:rFonts w:ascii="Verdana" w:hAnsi="Verdana"/>
        </w:rPr>
        <w:t>Nonetheless,</w:t>
      </w:r>
      <w:r w:rsidR="00BA5E6A" w:rsidRPr="00F21685">
        <w:rPr>
          <w:rFonts w:ascii="Verdana" w:hAnsi="Verdana"/>
        </w:rPr>
        <w:t xml:space="preserve"> without prejudice to its earlier decisions qualifying CBN</w:t>
      </w:r>
      <w:r w:rsidR="00F07436" w:rsidRPr="00F21685">
        <w:rPr>
          <w:rFonts w:ascii="Verdana" w:hAnsi="Verdana"/>
        </w:rPr>
        <w:t xml:space="preserve"> </w:t>
      </w:r>
      <w:r w:rsidR="00BA5E6A" w:rsidRPr="00F21685">
        <w:rPr>
          <w:rFonts w:ascii="Verdana" w:hAnsi="Verdana"/>
        </w:rPr>
        <w:t>as a public officer, the court held in t</w:t>
      </w:r>
      <w:r w:rsidR="00BF480F" w:rsidRPr="00F21685">
        <w:rPr>
          <w:rFonts w:ascii="Verdana" w:hAnsi="Verdana"/>
        </w:rPr>
        <w:t>h</w:t>
      </w:r>
      <w:r w:rsidR="00BA5E6A" w:rsidRPr="00F21685">
        <w:rPr>
          <w:rFonts w:ascii="Verdana" w:hAnsi="Verdana"/>
        </w:rPr>
        <w:t xml:space="preserve">e case of CBN V. </w:t>
      </w:r>
      <w:r w:rsidR="00BF480F" w:rsidRPr="00F21685">
        <w:rPr>
          <w:rFonts w:ascii="Verdana" w:hAnsi="Verdana"/>
        </w:rPr>
        <w:t>INTERSTELLA COMMUNICATIONS LTD (SUPRA) that the consent of the A</w:t>
      </w:r>
      <w:r w:rsidR="00A93252">
        <w:rPr>
          <w:rFonts w:ascii="Verdana" w:hAnsi="Verdana"/>
        </w:rPr>
        <w:t xml:space="preserve">ttorney General of the </w:t>
      </w:r>
      <w:r w:rsidR="00A7453A">
        <w:rPr>
          <w:rFonts w:ascii="Verdana" w:hAnsi="Verdana"/>
        </w:rPr>
        <w:t>F</w:t>
      </w:r>
      <w:r w:rsidR="00A93252">
        <w:rPr>
          <w:rFonts w:ascii="Verdana" w:hAnsi="Verdana"/>
        </w:rPr>
        <w:t>ederation (HAGF)</w:t>
      </w:r>
      <w:r w:rsidR="00BF480F" w:rsidRPr="00F21685">
        <w:rPr>
          <w:rFonts w:ascii="Verdana" w:hAnsi="Verdana"/>
        </w:rPr>
        <w:t xml:space="preserve"> was not</w:t>
      </w:r>
      <w:r w:rsidR="00A93252">
        <w:rPr>
          <w:rFonts w:ascii="Verdana" w:hAnsi="Verdana"/>
        </w:rPr>
        <w:t xml:space="preserve"> required</w:t>
      </w:r>
      <w:r w:rsidR="00BF480F" w:rsidRPr="00F21685">
        <w:rPr>
          <w:rFonts w:ascii="Verdana" w:hAnsi="Verdana"/>
        </w:rPr>
        <w:t xml:space="preserve"> giving the circumstances of the garnishee proceedings, where</w:t>
      </w:r>
      <w:r w:rsidR="002C785B">
        <w:rPr>
          <w:rFonts w:ascii="Verdana" w:hAnsi="Verdana"/>
        </w:rPr>
        <w:t>in he participated and</w:t>
      </w:r>
      <w:r w:rsidR="00BF480F" w:rsidRPr="00F21685">
        <w:rPr>
          <w:rFonts w:ascii="Verdana" w:hAnsi="Verdana"/>
        </w:rPr>
        <w:t xml:space="preserve"> had always been</w:t>
      </w:r>
      <w:r w:rsidR="00A93252">
        <w:rPr>
          <w:rFonts w:ascii="Verdana" w:hAnsi="Verdana"/>
        </w:rPr>
        <w:t xml:space="preserve"> a</w:t>
      </w:r>
      <w:r w:rsidR="00BF480F" w:rsidRPr="00F21685">
        <w:rPr>
          <w:rFonts w:ascii="Verdana" w:hAnsi="Verdana"/>
        </w:rPr>
        <w:t xml:space="preserve"> party to the negotiations on how to pay the judgment debt, part of which had</w:t>
      </w:r>
      <w:r w:rsidR="008E6C59">
        <w:rPr>
          <w:rFonts w:ascii="Verdana" w:hAnsi="Verdana"/>
        </w:rPr>
        <w:t xml:space="preserve"> even</w:t>
      </w:r>
      <w:r w:rsidR="00BF480F" w:rsidRPr="00F21685">
        <w:rPr>
          <w:rFonts w:ascii="Verdana" w:hAnsi="Verdana"/>
        </w:rPr>
        <w:t xml:space="preserve"> already been paid</w:t>
      </w:r>
      <w:r w:rsidR="008E6C59">
        <w:rPr>
          <w:rFonts w:ascii="Verdana" w:hAnsi="Verdana"/>
        </w:rPr>
        <w:t>,</w:t>
      </w:r>
      <w:r w:rsidR="00BF480F" w:rsidRPr="00F21685">
        <w:rPr>
          <w:rFonts w:ascii="Verdana" w:hAnsi="Verdana"/>
        </w:rPr>
        <w:t xml:space="preserve"> </w:t>
      </w:r>
      <w:r w:rsidR="00C578E0" w:rsidRPr="00F21685">
        <w:rPr>
          <w:rFonts w:ascii="Verdana" w:hAnsi="Verdana"/>
        </w:rPr>
        <w:t xml:space="preserve">before the garnishee order nisi was sought by the judgment creditor </w:t>
      </w:r>
      <w:r w:rsidR="00D65F94" w:rsidRPr="00F21685">
        <w:rPr>
          <w:rFonts w:ascii="Verdana" w:hAnsi="Verdana"/>
        </w:rPr>
        <w:t xml:space="preserve"> in that suit.</w:t>
      </w:r>
      <w:r w:rsidR="00BF480F" w:rsidRPr="00F21685">
        <w:rPr>
          <w:rFonts w:ascii="Verdana" w:hAnsi="Verdana"/>
        </w:rPr>
        <w:t xml:space="preserve"> </w:t>
      </w:r>
      <w:r w:rsidR="00111CBB" w:rsidRPr="00F21685">
        <w:rPr>
          <w:rFonts w:ascii="Verdana" w:hAnsi="Verdana"/>
        </w:rPr>
        <w:t xml:space="preserve">The </w:t>
      </w:r>
      <w:r w:rsidR="008E6C59">
        <w:rPr>
          <w:rFonts w:ascii="Verdana" w:hAnsi="Verdana"/>
        </w:rPr>
        <w:t>s</w:t>
      </w:r>
      <w:r w:rsidR="00111CBB" w:rsidRPr="00F21685">
        <w:rPr>
          <w:rFonts w:ascii="Verdana" w:hAnsi="Verdana"/>
        </w:rPr>
        <w:t>upreme court thus held inter alia as follows:</w:t>
      </w:r>
    </w:p>
    <w:p w14:paraId="2493E104" w14:textId="77777777" w:rsidR="009E7BA4" w:rsidRPr="00F21685" w:rsidRDefault="009E7BA4" w:rsidP="006962A9">
      <w:pPr>
        <w:pStyle w:val="ListParagraph"/>
        <w:spacing w:after="100" w:afterAutospacing="1" w:line="240" w:lineRule="auto"/>
        <w:ind w:left="142"/>
        <w:jc w:val="both"/>
        <w:rPr>
          <w:rFonts w:ascii="Verdana" w:hAnsi="Verdana"/>
        </w:rPr>
      </w:pPr>
    </w:p>
    <w:p w14:paraId="582C17DD" w14:textId="4ABF84F0" w:rsidR="005C0A9D" w:rsidRPr="00664F65" w:rsidRDefault="005C0A9D" w:rsidP="008E6C59">
      <w:pPr>
        <w:pStyle w:val="ListParagraph"/>
        <w:spacing w:after="100" w:afterAutospacing="1" w:line="240" w:lineRule="auto"/>
        <w:ind w:right="920"/>
        <w:jc w:val="both"/>
        <w:rPr>
          <w:rFonts w:ascii="Verdana" w:hAnsi="Verdana"/>
          <w:sz w:val="20"/>
          <w:szCs w:val="20"/>
        </w:rPr>
      </w:pPr>
      <w:r w:rsidRPr="00664F65">
        <w:rPr>
          <w:rFonts w:ascii="Verdana" w:hAnsi="Verdana"/>
          <w:sz w:val="20"/>
          <w:szCs w:val="20"/>
        </w:rPr>
        <w:t xml:space="preserve">I have </w:t>
      </w:r>
      <w:r w:rsidR="008E6C59" w:rsidRPr="00664F65">
        <w:rPr>
          <w:rFonts w:ascii="Verdana" w:hAnsi="Verdana"/>
          <w:sz w:val="20"/>
          <w:szCs w:val="20"/>
        </w:rPr>
        <w:t>indicated</w:t>
      </w:r>
      <w:r w:rsidRPr="00664F65">
        <w:rPr>
          <w:rFonts w:ascii="Verdana" w:hAnsi="Verdana"/>
          <w:sz w:val="20"/>
          <w:szCs w:val="20"/>
        </w:rPr>
        <w:t xml:space="preserve"> earlier in the course of this judgment</w:t>
      </w:r>
      <w:r w:rsidR="00664F65" w:rsidRPr="00664F65">
        <w:rPr>
          <w:rFonts w:ascii="Verdana" w:hAnsi="Verdana"/>
          <w:sz w:val="20"/>
          <w:szCs w:val="20"/>
        </w:rPr>
        <w:t>,</w:t>
      </w:r>
      <w:r w:rsidRPr="00664F65">
        <w:rPr>
          <w:rFonts w:ascii="Verdana" w:hAnsi="Verdana"/>
          <w:sz w:val="20"/>
          <w:szCs w:val="20"/>
        </w:rPr>
        <w:t xml:space="preserve"> that the case under consideration herein is very peculiar a</w:t>
      </w:r>
      <w:r w:rsidR="006377D2">
        <w:rPr>
          <w:rFonts w:ascii="Verdana" w:hAnsi="Verdana"/>
          <w:sz w:val="20"/>
          <w:szCs w:val="20"/>
        </w:rPr>
        <w:t>n</w:t>
      </w:r>
      <w:r w:rsidRPr="00664F65">
        <w:rPr>
          <w:rFonts w:ascii="Verdana" w:hAnsi="Verdana"/>
          <w:sz w:val="20"/>
          <w:szCs w:val="20"/>
        </w:rPr>
        <w:t>d the circumstance cannot be fitted within the general interpretation of section 84 of SCPA. Again</w:t>
      </w:r>
      <w:r w:rsidR="006377D2">
        <w:rPr>
          <w:rFonts w:ascii="Verdana" w:hAnsi="Verdana"/>
          <w:sz w:val="20"/>
          <w:szCs w:val="20"/>
        </w:rPr>
        <w:t>,</w:t>
      </w:r>
      <w:r w:rsidRPr="00664F65">
        <w:rPr>
          <w:rFonts w:ascii="Verdana" w:hAnsi="Verdana"/>
          <w:sz w:val="20"/>
          <w:szCs w:val="20"/>
        </w:rPr>
        <w:t xml:space="preserve"> the case of Onjewu v. KSCMCI (S</w:t>
      </w:r>
      <w:r w:rsidR="009047D4" w:rsidRPr="00664F65">
        <w:rPr>
          <w:rFonts w:ascii="Verdana" w:hAnsi="Verdana"/>
          <w:sz w:val="20"/>
          <w:szCs w:val="20"/>
        </w:rPr>
        <w:t>u</w:t>
      </w:r>
      <w:r w:rsidRPr="00664F65">
        <w:rPr>
          <w:rFonts w:ascii="Verdana" w:hAnsi="Verdana"/>
          <w:sz w:val="20"/>
          <w:szCs w:val="20"/>
        </w:rPr>
        <w:t xml:space="preserve">pra) is well under reference. </w:t>
      </w:r>
      <w:r w:rsidRPr="00664F65">
        <w:rPr>
          <w:rFonts w:ascii="Verdana" w:hAnsi="Verdana"/>
          <w:sz w:val="20"/>
          <w:szCs w:val="20"/>
          <w:u w:val="single"/>
        </w:rPr>
        <w:t xml:space="preserve">Furthermore </w:t>
      </w:r>
      <w:r w:rsidR="0014309A" w:rsidRPr="00664F65">
        <w:rPr>
          <w:rFonts w:ascii="Verdana" w:hAnsi="Verdana"/>
          <w:sz w:val="20"/>
          <w:szCs w:val="20"/>
          <w:u w:val="single"/>
        </w:rPr>
        <w:t>and as rightly submitted on behalf of the 1</w:t>
      </w:r>
      <w:r w:rsidR="0014309A" w:rsidRPr="00664F65">
        <w:rPr>
          <w:rFonts w:ascii="Verdana" w:hAnsi="Verdana"/>
          <w:sz w:val="20"/>
          <w:szCs w:val="20"/>
          <w:u w:val="single"/>
          <w:vertAlign w:val="superscript"/>
        </w:rPr>
        <w:t>st</w:t>
      </w:r>
      <w:r w:rsidR="0014309A" w:rsidRPr="00664F65">
        <w:rPr>
          <w:rFonts w:ascii="Verdana" w:hAnsi="Verdana"/>
          <w:sz w:val="20"/>
          <w:szCs w:val="20"/>
          <w:u w:val="single"/>
        </w:rPr>
        <w:t xml:space="preserve"> and 2</w:t>
      </w:r>
      <w:r w:rsidR="0014309A" w:rsidRPr="00664F65">
        <w:rPr>
          <w:rFonts w:ascii="Verdana" w:hAnsi="Verdana"/>
          <w:sz w:val="20"/>
          <w:szCs w:val="20"/>
          <w:u w:val="single"/>
          <w:vertAlign w:val="superscript"/>
        </w:rPr>
        <w:t>nd</w:t>
      </w:r>
      <w:r w:rsidR="0014309A" w:rsidRPr="00664F65">
        <w:rPr>
          <w:rFonts w:ascii="Verdana" w:hAnsi="Verdana"/>
          <w:sz w:val="20"/>
          <w:szCs w:val="20"/>
          <w:u w:val="single"/>
        </w:rPr>
        <w:t xml:space="preserve"> respondents, certain qualifying conditions must be met for a case to come under the purview of section 84 of SCPA in other words, justice demands that the AGF must be a neutral/nominal party in the transaction</w:t>
      </w:r>
      <w:r w:rsidR="00220580">
        <w:rPr>
          <w:rFonts w:ascii="Verdana" w:hAnsi="Verdana"/>
          <w:sz w:val="20"/>
          <w:szCs w:val="20"/>
          <w:u w:val="single"/>
        </w:rPr>
        <w:t>s</w:t>
      </w:r>
      <w:r w:rsidR="0014309A" w:rsidRPr="00664F65">
        <w:rPr>
          <w:rFonts w:ascii="Verdana" w:hAnsi="Verdana"/>
          <w:sz w:val="20"/>
          <w:szCs w:val="20"/>
          <w:u w:val="single"/>
        </w:rPr>
        <w:t xml:space="preserve"> and proceedings giving rise to the applications </w:t>
      </w:r>
      <w:r w:rsidR="005B04F9">
        <w:rPr>
          <w:rFonts w:ascii="Verdana" w:hAnsi="Verdana"/>
          <w:sz w:val="20"/>
          <w:szCs w:val="20"/>
          <w:u w:val="single"/>
        </w:rPr>
        <w:t>for an</w:t>
      </w:r>
      <w:r w:rsidR="0014309A" w:rsidRPr="00664F65">
        <w:rPr>
          <w:rFonts w:ascii="Verdana" w:hAnsi="Verdana"/>
          <w:sz w:val="20"/>
          <w:szCs w:val="20"/>
          <w:u w:val="single"/>
        </w:rPr>
        <w:t xml:space="preserve"> order nisi and him being the debtor</w:t>
      </w:r>
      <w:r w:rsidR="0014309A" w:rsidRPr="00664F65">
        <w:rPr>
          <w:rFonts w:ascii="Verdana" w:hAnsi="Verdana"/>
          <w:sz w:val="20"/>
          <w:szCs w:val="20"/>
        </w:rPr>
        <w:t xml:space="preserve">. It is well </w:t>
      </w:r>
      <w:r w:rsidR="0014309A" w:rsidRPr="00664F65">
        <w:rPr>
          <w:rFonts w:ascii="Verdana" w:hAnsi="Verdana"/>
          <w:sz w:val="20"/>
          <w:szCs w:val="20"/>
        </w:rPr>
        <w:lastRenderedPageBreak/>
        <w:t>and explicit in the facts of this case</w:t>
      </w:r>
      <w:r w:rsidR="008F7AB1">
        <w:rPr>
          <w:rFonts w:ascii="Verdana" w:hAnsi="Verdana"/>
          <w:sz w:val="20"/>
          <w:szCs w:val="20"/>
        </w:rPr>
        <w:t>,</w:t>
      </w:r>
      <w:r w:rsidR="0014309A" w:rsidRPr="00664F65">
        <w:rPr>
          <w:rFonts w:ascii="Verdana" w:hAnsi="Verdana"/>
          <w:sz w:val="20"/>
          <w:szCs w:val="20"/>
        </w:rPr>
        <w:t xml:space="preserve"> that the AGF has all along held out himself to be an active participant in the several stages of negotiations, transactions and part payment</w:t>
      </w:r>
      <w:r w:rsidR="00266183">
        <w:rPr>
          <w:rFonts w:ascii="Verdana" w:hAnsi="Verdana"/>
          <w:sz w:val="20"/>
          <w:szCs w:val="20"/>
        </w:rPr>
        <w:t>s</w:t>
      </w:r>
      <w:r w:rsidR="0014309A" w:rsidRPr="00664F65">
        <w:rPr>
          <w:rFonts w:ascii="Verdana" w:hAnsi="Verdana"/>
          <w:sz w:val="20"/>
          <w:szCs w:val="20"/>
        </w:rPr>
        <w:t xml:space="preserve"> of the debt owed. Paragraph 13 of the affidavit in support of the AGF’s application of page 76 of the record is under reference as admission against interest. In the circumstance, the AGF cannot be a neutral/nominal party in this case, it is right to say that b</w:t>
      </w:r>
      <w:r w:rsidR="009047D4" w:rsidRPr="00664F65">
        <w:rPr>
          <w:rFonts w:ascii="Verdana" w:hAnsi="Verdana"/>
          <w:sz w:val="20"/>
          <w:szCs w:val="20"/>
        </w:rPr>
        <w:t>y</w:t>
      </w:r>
      <w:r w:rsidR="0014309A" w:rsidRPr="00664F65">
        <w:rPr>
          <w:rFonts w:ascii="Verdana" w:hAnsi="Verdana"/>
          <w:sz w:val="20"/>
          <w:szCs w:val="20"/>
        </w:rPr>
        <w:t xml:space="preserve"> implication section 84 of the SCPA which stipulates “consent</w:t>
      </w:r>
      <w:r w:rsidR="00266183">
        <w:rPr>
          <w:rFonts w:ascii="Verdana" w:hAnsi="Verdana"/>
          <w:sz w:val="20"/>
          <w:szCs w:val="20"/>
        </w:rPr>
        <w:t>”</w:t>
      </w:r>
      <w:r w:rsidR="0014309A" w:rsidRPr="00664F65">
        <w:rPr>
          <w:rFonts w:ascii="Verdana" w:hAnsi="Verdana"/>
          <w:sz w:val="20"/>
          <w:szCs w:val="20"/>
        </w:rPr>
        <w:t xml:space="preserve"> had </w:t>
      </w:r>
      <w:r w:rsidR="009047D4" w:rsidRPr="00664F65">
        <w:rPr>
          <w:rFonts w:ascii="Verdana" w:hAnsi="Verdana"/>
          <w:sz w:val="20"/>
          <w:szCs w:val="20"/>
        </w:rPr>
        <w:t xml:space="preserve">already been complied with as the government itself negotiated the terms and took steps to settle the debts, before it later reneged on full satisfaction thereof. </w:t>
      </w:r>
      <w:r w:rsidR="009047D4" w:rsidRPr="00664F65">
        <w:rPr>
          <w:rFonts w:ascii="Verdana" w:hAnsi="Verdana"/>
          <w:sz w:val="20"/>
          <w:szCs w:val="20"/>
          <w:u w:val="single"/>
        </w:rPr>
        <w:t>The most potent factor which makes section 84(1) of the SCPA inapplicable herein is because the Attorney-General is the debtor and</w:t>
      </w:r>
      <w:r w:rsidR="003029FD">
        <w:rPr>
          <w:rFonts w:ascii="Verdana" w:hAnsi="Verdana"/>
          <w:sz w:val="20"/>
          <w:szCs w:val="20"/>
          <w:u w:val="single"/>
        </w:rPr>
        <w:t xml:space="preserve"> he</w:t>
      </w:r>
      <w:r w:rsidR="009047D4" w:rsidRPr="00664F65">
        <w:rPr>
          <w:rFonts w:ascii="Verdana" w:hAnsi="Verdana"/>
          <w:sz w:val="20"/>
          <w:szCs w:val="20"/>
          <w:u w:val="single"/>
        </w:rPr>
        <w:t xml:space="preserve"> ha</w:t>
      </w:r>
      <w:r w:rsidR="003029FD">
        <w:rPr>
          <w:rFonts w:ascii="Verdana" w:hAnsi="Verdana"/>
          <w:sz w:val="20"/>
          <w:szCs w:val="20"/>
          <w:u w:val="single"/>
        </w:rPr>
        <w:t>d</w:t>
      </w:r>
      <w:r w:rsidR="009047D4" w:rsidRPr="00664F65">
        <w:rPr>
          <w:rFonts w:ascii="Verdana" w:hAnsi="Verdana"/>
          <w:sz w:val="20"/>
          <w:szCs w:val="20"/>
          <w:u w:val="single"/>
        </w:rPr>
        <w:t xml:space="preserve"> been sued in that capacity</w:t>
      </w:r>
      <w:r w:rsidR="009047D4" w:rsidRPr="00664F65">
        <w:rPr>
          <w:rFonts w:ascii="Verdana" w:hAnsi="Verdana"/>
          <w:sz w:val="20"/>
          <w:szCs w:val="20"/>
        </w:rPr>
        <w:t>. With the AGF being the debtor thereof, will it not be absurd to require that his consent should be sought especially having admitted that he had taken the move by paying part of the debt in question…” (Underlined for emphasis).</w:t>
      </w:r>
    </w:p>
    <w:p w14:paraId="2E9C6914" w14:textId="77777777" w:rsidR="009047D4" w:rsidRPr="00664F65" w:rsidRDefault="009047D4" w:rsidP="006962A9">
      <w:pPr>
        <w:pStyle w:val="ListParagraph"/>
        <w:spacing w:after="100" w:afterAutospacing="1" w:line="240" w:lineRule="auto"/>
        <w:ind w:left="142" w:right="920"/>
        <w:jc w:val="both"/>
        <w:rPr>
          <w:rFonts w:ascii="Verdana" w:hAnsi="Verdana"/>
          <w:sz w:val="20"/>
          <w:szCs w:val="20"/>
        </w:rPr>
      </w:pPr>
    </w:p>
    <w:p w14:paraId="4177FE68" w14:textId="2CA83C1B" w:rsidR="0045189B" w:rsidRPr="00F21685" w:rsidRDefault="009047D4"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 </w:t>
      </w:r>
      <w:r w:rsidR="00D46842">
        <w:rPr>
          <w:rFonts w:ascii="Verdana" w:hAnsi="Verdana"/>
        </w:rPr>
        <w:t xml:space="preserve">again </w:t>
      </w:r>
      <w:r w:rsidRPr="00F21685">
        <w:rPr>
          <w:rFonts w:ascii="Verdana" w:hAnsi="Verdana"/>
        </w:rPr>
        <w:t>observe that the peculiarity of the facts and circumstance</w:t>
      </w:r>
      <w:r w:rsidR="00D46842">
        <w:rPr>
          <w:rFonts w:ascii="Verdana" w:hAnsi="Verdana"/>
        </w:rPr>
        <w:t>s</w:t>
      </w:r>
      <w:r w:rsidRPr="00F21685">
        <w:rPr>
          <w:rFonts w:ascii="Verdana" w:hAnsi="Verdana"/>
        </w:rPr>
        <w:t xml:space="preserve"> of the decision of the apex court in the </w:t>
      </w:r>
      <w:r w:rsidR="000E4E1F">
        <w:rPr>
          <w:rFonts w:ascii="Verdana" w:hAnsi="Verdana"/>
        </w:rPr>
        <w:t>case</w:t>
      </w:r>
      <w:r w:rsidRPr="00F21685">
        <w:rPr>
          <w:rFonts w:ascii="Verdana" w:hAnsi="Verdana"/>
        </w:rPr>
        <w:t xml:space="preserve"> of CBN V. INTERSTELLA COMMUNICATIONS LTD (SUPRA)</w:t>
      </w:r>
      <w:r w:rsidR="00D46842">
        <w:rPr>
          <w:rFonts w:ascii="Verdana" w:hAnsi="Verdana"/>
        </w:rPr>
        <w:t xml:space="preserve">, </w:t>
      </w:r>
      <w:r w:rsidR="0045189B" w:rsidRPr="00F21685">
        <w:rPr>
          <w:rFonts w:ascii="Verdana" w:hAnsi="Verdana"/>
        </w:rPr>
        <w:t>w</w:t>
      </w:r>
      <w:r w:rsidR="00D46842">
        <w:rPr>
          <w:rFonts w:ascii="Verdana" w:hAnsi="Verdana"/>
        </w:rPr>
        <w:t>ere</w:t>
      </w:r>
      <w:r w:rsidR="0045189B" w:rsidRPr="00F21685">
        <w:rPr>
          <w:rFonts w:ascii="Verdana" w:hAnsi="Verdana"/>
        </w:rPr>
        <w:t xml:space="preserve"> well appreciated in the recent decision of the appellate </w:t>
      </w:r>
      <w:r w:rsidR="00D46842">
        <w:rPr>
          <w:rFonts w:ascii="Verdana" w:hAnsi="Verdana"/>
        </w:rPr>
        <w:t>c</w:t>
      </w:r>
      <w:r w:rsidR="0045189B" w:rsidRPr="00F21685">
        <w:rPr>
          <w:rFonts w:ascii="Verdana" w:hAnsi="Verdana"/>
        </w:rPr>
        <w:t>ourt in C.B.N V. OSONOKI (2022) LPELR-57210 (CA)</w:t>
      </w:r>
      <w:r w:rsidR="00C07490" w:rsidRPr="00F21685">
        <w:rPr>
          <w:rFonts w:ascii="Verdana" w:hAnsi="Verdana"/>
        </w:rPr>
        <w:t>, wherein the court abundantly quoted from the decision of the apex court in CBN V. INTERSTELLA COMMUNICATIONS LTD (SUPRA).</w:t>
      </w:r>
    </w:p>
    <w:p w14:paraId="3367A2F7" w14:textId="77777777" w:rsidR="0045189B" w:rsidRPr="00F21685" w:rsidRDefault="0045189B" w:rsidP="006962A9">
      <w:pPr>
        <w:pStyle w:val="ListParagraph"/>
        <w:spacing w:after="100" w:afterAutospacing="1" w:line="240" w:lineRule="auto"/>
        <w:ind w:left="142"/>
        <w:jc w:val="both"/>
        <w:rPr>
          <w:rFonts w:ascii="Verdana" w:hAnsi="Verdana"/>
        </w:rPr>
      </w:pPr>
    </w:p>
    <w:p w14:paraId="29E3A6A3" w14:textId="1EDEB5E1" w:rsidR="00736611" w:rsidRPr="00F21685" w:rsidRDefault="00676194" w:rsidP="006962A9">
      <w:pPr>
        <w:pStyle w:val="ListParagraph"/>
        <w:numPr>
          <w:ilvl w:val="0"/>
          <w:numId w:val="3"/>
        </w:numPr>
        <w:spacing w:after="100" w:afterAutospacing="1" w:line="240" w:lineRule="auto"/>
        <w:ind w:left="142" w:firstLine="0"/>
        <w:jc w:val="both"/>
        <w:rPr>
          <w:rFonts w:ascii="Verdana" w:hAnsi="Verdana"/>
        </w:rPr>
      </w:pPr>
      <w:r>
        <w:rPr>
          <w:rFonts w:ascii="Verdana" w:hAnsi="Verdana"/>
        </w:rPr>
        <w:t>Besides, l</w:t>
      </w:r>
      <w:r w:rsidR="00532C43" w:rsidRPr="00F21685">
        <w:rPr>
          <w:rFonts w:ascii="Verdana" w:hAnsi="Verdana"/>
        </w:rPr>
        <w:t>egal</w:t>
      </w:r>
      <w:r w:rsidR="004E1F97">
        <w:rPr>
          <w:rFonts w:ascii="Verdana" w:hAnsi="Verdana"/>
        </w:rPr>
        <w:t xml:space="preserve"> and judicial</w:t>
      </w:r>
      <w:r w:rsidR="00532C43" w:rsidRPr="00F21685">
        <w:rPr>
          <w:rFonts w:ascii="Verdana" w:hAnsi="Verdana"/>
        </w:rPr>
        <w:t xml:space="preserve"> authorities abound to the effect that</w:t>
      </w:r>
      <w:r>
        <w:rPr>
          <w:rFonts w:ascii="Verdana" w:hAnsi="Verdana"/>
        </w:rPr>
        <w:t xml:space="preserve"> the</w:t>
      </w:r>
      <w:r w:rsidR="00532C43" w:rsidRPr="00F21685">
        <w:rPr>
          <w:rFonts w:ascii="Verdana" w:hAnsi="Verdana"/>
        </w:rPr>
        <w:t xml:space="preserve"> proper parties </w:t>
      </w:r>
      <w:r w:rsidR="009C0CA6" w:rsidRPr="00F21685">
        <w:rPr>
          <w:rFonts w:ascii="Verdana" w:hAnsi="Verdana"/>
        </w:rPr>
        <w:t>to a garnishee proceedings are</w:t>
      </w:r>
      <w:r w:rsidR="000946F6" w:rsidRPr="00F21685">
        <w:rPr>
          <w:rFonts w:ascii="Verdana" w:hAnsi="Verdana"/>
        </w:rPr>
        <w:t xml:space="preserve"> </w:t>
      </w:r>
      <w:r w:rsidR="00C07490" w:rsidRPr="00F21685">
        <w:rPr>
          <w:rFonts w:ascii="Verdana" w:hAnsi="Verdana"/>
        </w:rPr>
        <w:t>t</w:t>
      </w:r>
      <w:r w:rsidR="00532C43" w:rsidRPr="00F21685">
        <w:rPr>
          <w:rFonts w:ascii="Verdana" w:hAnsi="Verdana"/>
        </w:rPr>
        <w:t>he judgment creditor and the garnishee who is indebted to the judgment debtor</w:t>
      </w:r>
      <w:r w:rsidR="004E1F97">
        <w:rPr>
          <w:rFonts w:ascii="Verdana" w:hAnsi="Verdana"/>
        </w:rPr>
        <w:t xml:space="preserve">. I do not have to search long and hard </w:t>
      </w:r>
      <w:r w:rsidR="00F80E5A">
        <w:rPr>
          <w:rFonts w:ascii="Verdana" w:hAnsi="Verdana"/>
        </w:rPr>
        <w:t>to apply</w:t>
      </w:r>
      <w:r w:rsidR="004E1F97">
        <w:rPr>
          <w:rFonts w:ascii="Verdana" w:hAnsi="Verdana"/>
        </w:rPr>
        <w:t xml:space="preserve"> any</w:t>
      </w:r>
      <w:r w:rsidR="00A40381">
        <w:rPr>
          <w:rFonts w:ascii="Verdana" w:hAnsi="Verdana"/>
        </w:rPr>
        <w:t xml:space="preserve"> of those authorities</w:t>
      </w:r>
      <w:r w:rsidR="00532C43" w:rsidRPr="00F21685">
        <w:rPr>
          <w:rFonts w:ascii="Verdana" w:hAnsi="Verdana"/>
        </w:rPr>
        <w:t xml:space="preserve"> – UBA PLC V. EKANEM (2010) 6 NWLR (PART. 1190) 207 of 226; CBN V. INTERSTELLA COMMUNICATIONS LTS &amp; ORS. (2007) LPELR-43940 (SC). </w:t>
      </w:r>
      <w:r w:rsidR="00170A33" w:rsidRPr="00F21685">
        <w:rPr>
          <w:rFonts w:ascii="Verdana" w:hAnsi="Verdana"/>
        </w:rPr>
        <w:t xml:space="preserve">I am </w:t>
      </w:r>
      <w:r w:rsidR="00F80E5A">
        <w:rPr>
          <w:rFonts w:ascii="Verdana" w:hAnsi="Verdana"/>
        </w:rPr>
        <w:t xml:space="preserve">also </w:t>
      </w:r>
      <w:r w:rsidR="00170A33" w:rsidRPr="00F21685">
        <w:rPr>
          <w:rFonts w:ascii="Verdana" w:hAnsi="Verdana"/>
        </w:rPr>
        <w:t xml:space="preserve">not oblivious of the fact that the Attorney General of Imo </w:t>
      </w:r>
      <w:r w:rsidR="00F80E5A">
        <w:rPr>
          <w:rFonts w:ascii="Verdana" w:hAnsi="Verdana"/>
        </w:rPr>
        <w:t>S</w:t>
      </w:r>
      <w:r w:rsidR="00170A33" w:rsidRPr="00F21685">
        <w:rPr>
          <w:rFonts w:ascii="Verdana" w:hAnsi="Verdana"/>
        </w:rPr>
        <w:t>tate was sued as the 2</w:t>
      </w:r>
      <w:r w:rsidR="00170A33" w:rsidRPr="00F21685">
        <w:rPr>
          <w:rFonts w:ascii="Verdana" w:hAnsi="Verdana"/>
          <w:vertAlign w:val="superscript"/>
        </w:rPr>
        <w:t>nd</w:t>
      </w:r>
      <w:r w:rsidR="00170A33" w:rsidRPr="00F21685">
        <w:rPr>
          <w:rFonts w:ascii="Verdana" w:hAnsi="Verdana"/>
        </w:rPr>
        <w:t xml:space="preserve"> defendant </w:t>
      </w:r>
      <w:r w:rsidR="009C0CA6" w:rsidRPr="00F21685">
        <w:rPr>
          <w:rFonts w:ascii="Verdana" w:hAnsi="Verdana"/>
        </w:rPr>
        <w:t>in the main</w:t>
      </w:r>
      <w:r w:rsidR="00736611" w:rsidRPr="00F21685">
        <w:rPr>
          <w:rFonts w:ascii="Verdana" w:hAnsi="Verdana"/>
        </w:rPr>
        <w:t xml:space="preserve"> suit</w:t>
      </w:r>
      <w:r w:rsidR="00570459">
        <w:rPr>
          <w:rFonts w:ascii="Verdana" w:hAnsi="Verdana"/>
        </w:rPr>
        <w:t>. He participated in</w:t>
      </w:r>
      <w:r w:rsidR="00736611" w:rsidRPr="00F21685">
        <w:rPr>
          <w:rFonts w:ascii="Verdana" w:hAnsi="Verdana"/>
        </w:rPr>
        <w:t xml:space="preserve"> and indeed is the current </w:t>
      </w:r>
      <w:r w:rsidR="009C0CA6" w:rsidRPr="00F21685">
        <w:rPr>
          <w:rFonts w:ascii="Verdana" w:hAnsi="Verdana"/>
        </w:rPr>
        <w:t>2</w:t>
      </w:r>
      <w:r w:rsidR="009C0CA6" w:rsidRPr="00F21685">
        <w:rPr>
          <w:rFonts w:ascii="Verdana" w:hAnsi="Verdana"/>
          <w:vertAlign w:val="superscript"/>
        </w:rPr>
        <w:t>nd</w:t>
      </w:r>
      <w:r w:rsidR="009C0CA6" w:rsidRPr="00F21685">
        <w:rPr>
          <w:rFonts w:ascii="Verdana" w:hAnsi="Verdana"/>
        </w:rPr>
        <w:t xml:space="preserve"> </w:t>
      </w:r>
      <w:r w:rsidR="00736611" w:rsidRPr="00F21685">
        <w:rPr>
          <w:rFonts w:ascii="Verdana" w:hAnsi="Verdana"/>
        </w:rPr>
        <w:t>judgment debtor/applicant herein. Thus</w:t>
      </w:r>
      <w:r w:rsidR="00570459">
        <w:rPr>
          <w:rFonts w:ascii="Verdana" w:hAnsi="Verdana"/>
        </w:rPr>
        <w:t>,</w:t>
      </w:r>
      <w:r w:rsidR="00736611" w:rsidRPr="00F21685">
        <w:rPr>
          <w:rFonts w:ascii="Verdana" w:hAnsi="Verdana"/>
        </w:rPr>
        <w:t xml:space="preserve"> there is no gainsaying that the A.G of Imo </w:t>
      </w:r>
      <w:r w:rsidR="00570459">
        <w:rPr>
          <w:rFonts w:ascii="Verdana" w:hAnsi="Verdana"/>
        </w:rPr>
        <w:t>S</w:t>
      </w:r>
      <w:r w:rsidR="00736611" w:rsidRPr="00F21685">
        <w:rPr>
          <w:rFonts w:ascii="Verdana" w:hAnsi="Verdana"/>
        </w:rPr>
        <w:t xml:space="preserve">tate is </w:t>
      </w:r>
      <w:r w:rsidR="00031858">
        <w:rPr>
          <w:rFonts w:ascii="Verdana" w:hAnsi="Verdana"/>
        </w:rPr>
        <w:t>a judgment</w:t>
      </w:r>
      <w:r w:rsidR="00736611" w:rsidRPr="00F21685">
        <w:rPr>
          <w:rFonts w:ascii="Verdana" w:hAnsi="Verdana"/>
        </w:rPr>
        <w:t xml:space="preserve"> debtor in this suit. The learned counsel for the judgment creditor/respondent submitted in paragraph D1 of his written submission that the defendants (</w:t>
      </w:r>
      <w:r w:rsidR="004A567A" w:rsidRPr="00F21685">
        <w:rPr>
          <w:rFonts w:ascii="Verdana" w:hAnsi="Verdana"/>
        </w:rPr>
        <w:t>i.e.</w:t>
      </w:r>
      <w:r w:rsidR="00736611" w:rsidRPr="00F21685">
        <w:rPr>
          <w:rFonts w:ascii="Verdana" w:hAnsi="Verdana"/>
        </w:rPr>
        <w:t xml:space="preserve"> judgment debtors/applicants) delayed the matter</w:t>
      </w:r>
      <w:r w:rsidR="00AF4A37">
        <w:rPr>
          <w:rFonts w:ascii="Verdana" w:hAnsi="Verdana"/>
        </w:rPr>
        <w:t xml:space="preserve"> in</w:t>
      </w:r>
      <w:r w:rsidR="00736611" w:rsidRPr="00F21685">
        <w:rPr>
          <w:rFonts w:ascii="Verdana" w:hAnsi="Verdana"/>
        </w:rPr>
        <w:t xml:space="preserve"> what he described as spurious promises to settle out of court.</w:t>
      </w:r>
      <w:r w:rsidR="004A567A">
        <w:rPr>
          <w:rFonts w:ascii="Verdana" w:hAnsi="Verdana"/>
        </w:rPr>
        <w:t xml:space="preserve"> This indeed, took several months </w:t>
      </w:r>
      <w:r w:rsidR="009837C5">
        <w:rPr>
          <w:rFonts w:ascii="Verdana" w:hAnsi="Verdana"/>
        </w:rPr>
        <w:t>prior today</w:t>
      </w:r>
      <w:r w:rsidR="00C5442A">
        <w:rPr>
          <w:rFonts w:ascii="Verdana" w:hAnsi="Verdana"/>
        </w:rPr>
        <w:t xml:space="preserve"> with excuse</w:t>
      </w:r>
      <w:r w:rsidR="00813D1B">
        <w:rPr>
          <w:rFonts w:ascii="Verdana" w:hAnsi="Verdana"/>
        </w:rPr>
        <w:t>s</w:t>
      </w:r>
      <w:r w:rsidR="00C5442A">
        <w:rPr>
          <w:rFonts w:ascii="Verdana" w:hAnsi="Verdana"/>
        </w:rPr>
        <w:t xml:space="preserve"> on each adjourn</w:t>
      </w:r>
      <w:r w:rsidR="00B00D9E">
        <w:rPr>
          <w:rFonts w:ascii="Verdana" w:hAnsi="Verdana"/>
        </w:rPr>
        <w:t>ed day</w:t>
      </w:r>
      <w:r w:rsidR="00C5442A">
        <w:rPr>
          <w:rFonts w:ascii="Verdana" w:hAnsi="Verdana"/>
        </w:rPr>
        <w:t xml:space="preserve"> that the HAG as well as the Governor, were considering the matter </w:t>
      </w:r>
      <w:r w:rsidR="00813D1B">
        <w:rPr>
          <w:rFonts w:ascii="Verdana" w:hAnsi="Verdana"/>
        </w:rPr>
        <w:t>for a possible out of court settlement</w:t>
      </w:r>
      <w:r w:rsidR="00B556EB">
        <w:rPr>
          <w:rFonts w:ascii="Verdana" w:hAnsi="Verdana"/>
        </w:rPr>
        <w:t xml:space="preserve"> or that the latter was indisposed and inaccessible</w:t>
      </w:r>
      <w:r w:rsidR="00EE1E7A">
        <w:rPr>
          <w:rFonts w:ascii="Verdana" w:hAnsi="Verdana"/>
        </w:rPr>
        <w:t xml:space="preserve"> for a meeting</w:t>
      </w:r>
      <w:r w:rsidR="00813D1B">
        <w:rPr>
          <w:rFonts w:ascii="Verdana" w:hAnsi="Verdana"/>
        </w:rPr>
        <w:t>.</w:t>
      </w:r>
      <w:r w:rsidR="00540A8B">
        <w:rPr>
          <w:rFonts w:ascii="Verdana" w:hAnsi="Verdana"/>
        </w:rPr>
        <w:t xml:space="preserve"> </w:t>
      </w:r>
      <w:r w:rsidR="009837C5">
        <w:rPr>
          <w:rFonts w:ascii="Verdana" w:hAnsi="Verdana"/>
        </w:rPr>
        <w:t xml:space="preserve"> </w:t>
      </w:r>
      <w:r w:rsidR="00736611" w:rsidRPr="00F21685">
        <w:rPr>
          <w:rFonts w:ascii="Verdana" w:hAnsi="Verdana"/>
        </w:rPr>
        <w:t xml:space="preserve"> </w:t>
      </w:r>
    </w:p>
    <w:p w14:paraId="1D7C8AF1" w14:textId="77777777" w:rsidR="00736611" w:rsidRPr="00F21685" w:rsidRDefault="00736611" w:rsidP="006962A9">
      <w:pPr>
        <w:pStyle w:val="ListParagraph"/>
        <w:ind w:left="142"/>
        <w:rPr>
          <w:rFonts w:ascii="Verdana" w:hAnsi="Verdana"/>
        </w:rPr>
      </w:pPr>
    </w:p>
    <w:p w14:paraId="4DEAFD37" w14:textId="3ADFB174" w:rsidR="00C83C63" w:rsidRPr="00F21685" w:rsidRDefault="002F3735"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In view of the said counsel’s submissions, </w:t>
      </w:r>
      <w:r w:rsidR="00B00D9E">
        <w:rPr>
          <w:rFonts w:ascii="Verdana" w:hAnsi="Verdana"/>
        </w:rPr>
        <w:t>i</w:t>
      </w:r>
      <w:r w:rsidRPr="00F21685">
        <w:rPr>
          <w:rFonts w:ascii="Verdana" w:hAnsi="Verdana"/>
        </w:rPr>
        <w:t xml:space="preserve">t </w:t>
      </w:r>
      <w:r w:rsidR="00215CD3">
        <w:rPr>
          <w:rFonts w:ascii="Verdana" w:hAnsi="Verdana"/>
        </w:rPr>
        <w:t>is</w:t>
      </w:r>
      <w:r w:rsidR="009E7E77" w:rsidRPr="00F21685">
        <w:rPr>
          <w:rFonts w:ascii="Verdana" w:hAnsi="Verdana"/>
        </w:rPr>
        <w:t xml:space="preserve"> observed that sequel to the order nisi made by this court, these judgment debtors/applican</w:t>
      </w:r>
      <w:r w:rsidR="00E30E16" w:rsidRPr="00F21685">
        <w:rPr>
          <w:rFonts w:ascii="Verdana" w:hAnsi="Verdana"/>
        </w:rPr>
        <w:t>ts have ex</w:t>
      </w:r>
      <w:r w:rsidR="00AD20DB">
        <w:rPr>
          <w:rFonts w:ascii="Verdana" w:hAnsi="Verdana"/>
        </w:rPr>
        <w:t>erted</w:t>
      </w:r>
      <w:r w:rsidR="00E30E16" w:rsidRPr="00F21685">
        <w:rPr>
          <w:rFonts w:ascii="Verdana" w:hAnsi="Verdana"/>
        </w:rPr>
        <w:t xml:space="preserve"> efforts towards</w:t>
      </w:r>
      <w:r w:rsidR="009E7E77" w:rsidRPr="00F21685">
        <w:rPr>
          <w:rFonts w:ascii="Verdana" w:hAnsi="Verdana"/>
        </w:rPr>
        <w:t xml:space="preserve"> alternative settlement. </w:t>
      </w:r>
      <w:r w:rsidR="00215CD3">
        <w:rPr>
          <w:rFonts w:ascii="Verdana" w:hAnsi="Verdana"/>
        </w:rPr>
        <w:t>In fact, this move was passively encouraged by th</w:t>
      </w:r>
      <w:r w:rsidR="00A61E25">
        <w:rPr>
          <w:rFonts w:ascii="Verdana" w:hAnsi="Verdana"/>
        </w:rPr>
        <w:t>is</w:t>
      </w:r>
      <w:r w:rsidR="00215CD3">
        <w:rPr>
          <w:rFonts w:ascii="Verdana" w:hAnsi="Verdana"/>
        </w:rPr>
        <w:t xml:space="preserve"> court. </w:t>
      </w:r>
      <w:r w:rsidR="00A93CB7">
        <w:rPr>
          <w:rFonts w:ascii="Verdana" w:hAnsi="Verdana"/>
        </w:rPr>
        <w:t>Th</w:t>
      </w:r>
      <w:r w:rsidR="009262B0">
        <w:rPr>
          <w:rFonts w:ascii="Verdana" w:hAnsi="Verdana"/>
        </w:rPr>
        <w:t>ere</w:t>
      </w:r>
      <w:r w:rsidR="00A93CB7">
        <w:rPr>
          <w:rFonts w:ascii="Verdana" w:hAnsi="Verdana"/>
        </w:rPr>
        <w:t xml:space="preserve"> is </w:t>
      </w:r>
      <w:r w:rsidR="009262B0">
        <w:rPr>
          <w:rFonts w:ascii="Verdana" w:hAnsi="Verdana"/>
        </w:rPr>
        <w:t>in fact</w:t>
      </w:r>
      <w:r w:rsidR="00A61E25">
        <w:rPr>
          <w:rFonts w:ascii="Verdana" w:hAnsi="Verdana"/>
        </w:rPr>
        <w:t>,</w:t>
      </w:r>
      <w:r w:rsidR="009262B0">
        <w:rPr>
          <w:rFonts w:ascii="Verdana" w:hAnsi="Verdana"/>
        </w:rPr>
        <w:t xml:space="preserve"> </w:t>
      </w:r>
      <w:r w:rsidR="00A93CB7">
        <w:rPr>
          <w:rFonts w:ascii="Verdana" w:hAnsi="Verdana"/>
        </w:rPr>
        <w:t>eviden</w:t>
      </w:r>
      <w:r w:rsidR="009262B0">
        <w:rPr>
          <w:rFonts w:ascii="Verdana" w:hAnsi="Verdana"/>
        </w:rPr>
        <w:t>ce</w:t>
      </w:r>
      <w:r w:rsidR="009E7E77" w:rsidRPr="00F21685">
        <w:rPr>
          <w:rFonts w:ascii="Verdana" w:hAnsi="Verdana"/>
        </w:rPr>
        <w:t xml:space="preserve"> </w:t>
      </w:r>
      <w:r w:rsidR="009262B0">
        <w:rPr>
          <w:rFonts w:ascii="Verdana" w:hAnsi="Verdana"/>
        </w:rPr>
        <w:t>i</w:t>
      </w:r>
      <w:r w:rsidR="009E7E77" w:rsidRPr="00F21685">
        <w:rPr>
          <w:rFonts w:ascii="Verdana" w:hAnsi="Verdana"/>
        </w:rPr>
        <w:t>n the record of this court</w:t>
      </w:r>
      <w:r w:rsidR="009262B0">
        <w:rPr>
          <w:rFonts w:ascii="Verdana" w:hAnsi="Verdana"/>
        </w:rPr>
        <w:t xml:space="preserve"> made</w:t>
      </w:r>
      <w:r w:rsidR="000E4F23">
        <w:rPr>
          <w:rFonts w:ascii="Verdana" w:hAnsi="Verdana"/>
        </w:rPr>
        <w:t xml:space="preserve"> specifically</w:t>
      </w:r>
      <w:r w:rsidR="009E7E77" w:rsidRPr="00F21685">
        <w:rPr>
          <w:rFonts w:ascii="Verdana" w:hAnsi="Verdana"/>
        </w:rPr>
        <w:t xml:space="preserve"> on 1/2/2022</w:t>
      </w:r>
      <w:r w:rsidR="009262B0">
        <w:rPr>
          <w:rFonts w:ascii="Verdana" w:hAnsi="Verdana"/>
        </w:rPr>
        <w:t xml:space="preserve"> where</w:t>
      </w:r>
      <w:r w:rsidR="009E7E77" w:rsidRPr="00F21685">
        <w:rPr>
          <w:rFonts w:ascii="Verdana" w:hAnsi="Verdana"/>
        </w:rPr>
        <w:t xml:space="preserve"> the learned counsel for the judgment debtors</w:t>
      </w:r>
      <w:r w:rsidR="0056136F">
        <w:rPr>
          <w:rFonts w:ascii="Verdana" w:hAnsi="Verdana"/>
        </w:rPr>
        <w:t xml:space="preserve"> addressed the court that</w:t>
      </w:r>
      <w:r w:rsidR="009E7E77" w:rsidRPr="00F21685">
        <w:rPr>
          <w:rFonts w:ascii="Verdana" w:hAnsi="Verdana"/>
        </w:rPr>
        <w:t xml:space="preserve"> on 31/1/2022</w:t>
      </w:r>
      <w:r w:rsidR="0056136F">
        <w:rPr>
          <w:rFonts w:ascii="Verdana" w:hAnsi="Verdana"/>
        </w:rPr>
        <w:t>,</w:t>
      </w:r>
      <w:r w:rsidR="009E7E77" w:rsidRPr="00F21685">
        <w:rPr>
          <w:rFonts w:ascii="Verdana" w:hAnsi="Verdana"/>
        </w:rPr>
        <w:t xml:space="preserve"> following the letters served on</w:t>
      </w:r>
      <w:r w:rsidR="0056136F">
        <w:rPr>
          <w:rFonts w:ascii="Verdana" w:hAnsi="Verdana"/>
        </w:rPr>
        <w:t xml:space="preserve"> the</w:t>
      </w:r>
      <w:r w:rsidR="009E7E77" w:rsidRPr="00F21685">
        <w:rPr>
          <w:rFonts w:ascii="Verdana" w:hAnsi="Verdana"/>
        </w:rPr>
        <w:t xml:space="preserve"> parties and</w:t>
      </w:r>
      <w:r w:rsidR="0056136F">
        <w:rPr>
          <w:rFonts w:ascii="Verdana" w:hAnsi="Verdana"/>
        </w:rPr>
        <w:t xml:space="preserve"> their</w:t>
      </w:r>
      <w:r w:rsidR="009E7E77" w:rsidRPr="00F21685">
        <w:rPr>
          <w:rFonts w:ascii="Verdana" w:hAnsi="Verdana"/>
        </w:rPr>
        <w:t xml:space="preserve"> counsel, they met in the office of the SSG, and the Attorney General and other principal officer</w:t>
      </w:r>
      <w:r w:rsidR="0056136F">
        <w:rPr>
          <w:rFonts w:ascii="Verdana" w:hAnsi="Verdana"/>
        </w:rPr>
        <w:t>s</w:t>
      </w:r>
      <w:r w:rsidR="009E7E77" w:rsidRPr="00F21685">
        <w:rPr>
          <w:rFonts w:ascii="Verdana" w:hAnsi="Verdana"/>
        </w:rPr>
        <w:t xml:space="preserve"> of the</w:t>
      </w:r>
      <w:r w:rsidR="0056136F">
        <w:rPr>
          <w:rFonts w:ascii="Verdana" w:hAnsi="Verdana"/>
        </w:rPr>
        <w:t xml:space="preserve"> executive</w:t>
      </w:r>
      <w:r w:rsidR="009E7E77" w:rsidRPr="00F21685">
        <w:rPr>
          <w:rFonts w:ascii="Verdana" w:hAnsi="Verdana"/>
        </w:rPr>
        <w:t xml:space="preserve"> cabinet were present. However, it was further submitted by counsel for the judgment debtors/applicants on the said date </w:t>
      </w:r>
      <w:r w:rsidR="00C83C63" w:rsidRPr="00F21685">
        <w:rPr>
          <w:rFonts w:ascii="Verdana" w:hAnsi="Verdana"/>
        </w:rPr>
        <w:t>that they were unable to conclude settlement and so they agreed to seek</w:t>
      </w:r>
      <w:r w:rsidR="00415A03">
        <w:rPr>
          <w:rFonts w:ascii="Verdana" w:hAnsi="Verdana"/>
        </w:rPr>
        <w:t xml:space="preserve"> for</w:t>
      </w:r>
      <w:r w:rsidR="00C83C63" w:rsidRPr="00F21685">
        <w:rPr>
          <w:rFonts w:ascii="Verdana" w:hAnsi="Verdana"/>
        </w:rPr>
        <w:t xml:space="preserve"> more time from this court. </w:t>
      </w:r>
    </w:p>
    <w:p w14:paraId="4B0113A0" w14:textId="77777777" w:rsidR="00C83C63" w:rsidRPr="00F21685" w:rsidRDefault="00C83C63" w:rsidP="006962A9">
      <w:pPr>
        <w:pStyle w:val="ListParagraph"/>
        <w:spacing w:after="100" w:afterAutospacing="1" w:line="240" w:lineRule="auto"/>
        <w:ind w:left="142"/>
        <w:jc w:val="both"/>
        <w:rPr>
          <w:rFonts w:ascii="Verdana" w:hAnsi="Verdana"/>
        </w:rPr>
      </w:pPr>
    </w:p>
    <w:p w14:paraId="035AC981" w14:textId="719F7EA4" w:rsidR="005B47D3" w:rsidRPr="00F21685" w:rsidRDefault="00170A3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 It must be </w:t>
      </w:r>
      <w:r w:rsidR="00E30E16" w:rsidRPr="00F21685">
        <w:rPr>
          <w:rFonts w:ascii="Verdana" w:hAnsi="Verdana"/>
        </w:rPr>
        <w:t>noted that the appellate court h</w:t>
      </w:r>
      <w:r w:rsidRPr="00F21685">
        <w:rPr>
          <w:rFonts w:ascii="Verdana" w:hAnsi="Verdana"/>
        </w:rPr>
        <w:t>a</w:t>
      </w:r>
      <w:r w:rsidR="00796D30">
        <w:rPr>
          <w:rFonts w:ascii="Verdana" w:hAnsi="Verdana"/>
        </w:rPr>
        <w:t>d with dexterity</w:t>
      </w:r>
      <w:r w:rsidRPr="00F21685">
        <w:rPr>
          <w:rFonts w:ascii="Verdana" w:hAnsi="Verdana"/>
        </w:rPr>
        <w:t xml:space="preserve"> in the </w:t>
      </w:r>
      <w:r w:rsidR="00796D30">
        <w:rPr>
          <w:rFonts w:ascii="Verdana" w:hAnsi="Verdana"/>
        </w:rPr>
        <w:t>case</w:t>
      </w:r>
      <w:r w:rsidRPr="00F21685">
        <w:rPr>
          <w:rFonts w:ascii="Verdana" w:hAnsi="Verdana"/>
        </w:rPr>
        <w:t xml:space="preserve"> of CBN V. HYDRO AIR PTY (2014) 16 NWLR (PART 1434) 482 defined the term, “public officer” to connote public department and every officer or department invested with </w:t>
      </w:r>
      <w:r w:rsidR="008D02C1">
        <w:rPr>
          <w:rFonts w:ascii="Verdana" w:hAnsi="Verdana"/>
        </w:rPr>
        <w:t xml:space="preserve">the </w:t>
      </w:r>
      <w:r w:rsidRPr="00F21685">
        <w:rPr>
          <w:rFonts w:ascii="Verdana" w:hAnsi="Verdana"/>
        </w:rPr>
        <w:t>performance of public duty.</w:t>
      </w:r>
      <w:r w:rsidR="00C83C63" w:rsidRPr="00F21685">
        <w:rPr>
          <w:rFonts w:ascii="Verdana" w:hAnsi="Verdana"/>
        </w:rPr>
        <w:t xml:space="preserve"> </w:t>
      </w:r>
    </w:p>
    <w:p w14:paraId="4CF10E50" w14:textId="77777777" w:rsidR="00E30E16" w:rsidRPr="00F21685" w:rsidRDefault="00E30E16" w:rsidP="006962A9">
      <w:pPr>
        <w:pStyle w:val="ListParagraph"/>
        <w:ind w:left="142"/>
        <w:rPr>
          <w:rFonts w:ascii="Verdana" w:hAnsi="Verdana"/>
        </w:rPr>
      </w:pPr>
    </w:p>
    <w:p w14:paraId="128C66A6" w14:textId="7B44F546" w:rsidR="004D6A9A" w:rsidRDefault="00E30E16"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Before I </w:t>
      </w:r>
      <w:r w:rsidR="009A7EC7">
        <w:rPr>
          <w:rFonts w:ascii="Verdana" w:hAnsi="Verdana"/>
        </w:rPr>
        <w:t xml:space="preserve">make a final </w:t>
      </w:r>
      <w:r w:rsidRPr="00F21685">
        <w:rPr>
          <w:rFonts w:ascii="Verdana" w:hAnsi="Verdana"/>
        </w:rPr>
        <w:t>stop, I wish to emphasize in conclusion that</w:t>
      </w:r>
      <w:r w:rsidR="00711A4D" w:rsidRPr="00F21685">
        <w:rPr>
          <w:rFonts w:ascii="Verdana" w:hAnsi="Verdana"/>
        </w:rPr>
        <w:t xml:space="preserve"> from the preceding paragraphs in this ruling, I am convinced that the money sought to be attached by the judgment creditor/respondent is not in the custody of a public officer; and the money has neither </w:t>
      </w:r>
      <w:r w:rsidR="007E42D4" w:rsidRPr="00F21685">
        <w:rPr>
          <w:rFonts w:ascii="Verdana" w:hAnsi="Verdana"/>
        </w:rPr>
        <w:t>been</w:t>
      </w:r>
      <w:r w:rsidR="00711A4D" w:rsidRPr="00F21685">
        <w:rPr>
          <w:rFonts w:ascii="Verdana" w:hAnsi="Verdana"/>
        </w:rPr>
        <w:t xml:space="preserve"> shown to be under the control of a public officer. Assuming but by no means conceding that the money sought to be attached is under the control of a public officer, that alone cannot warrant the application of section 84 of the SCPA 2004 in the face of the facts and circumstances of this suit, where the attorney general is the judgment debtor and has been a party </w:t>
      </w:r>
      <w:r w:rsidR="007E42D4">
        <w:rPr>
          <w:rFonts w:ascii="Verdana" w:hAnsi="Verdana"/>
        </w:rPr>
        <w:t>at</w:t>
      </w:r>
      <w:r w:rsidR="00711A4D" w:rsidRPr="00F21685">
        <w:rPr>
          <w:rFonts w:ascii="Verdana" w:hAnsi="Verdana"/>
        </w:rPr>
        <w:t xml:space="preserve"> the meetings and other efforts to settle the judgment debt by alternative means. </w:t>
      </w:r>
      <w:r w:rsidRPr="00F21685">
        <w:rPr>
          <w:rFonts w:ascii="Verdana" w:hAnsi="Verdana"/>
        </w:rPr>
        <w:t xml:space="preserve"> </w:t>
      </w:r>
      <w:r w:rsidR="00711A4D" w:rsidRPr="00F21685">
        <w:rPr>
          <w:rFonts w:ascii="Verdana" w:hAnsi="Verdana"/>
        </w:rPr>
        <w:t>It is trite as rightly submitted by the learned counsel for the judgment creditor/respondent that the essence of the provisions of section 84 SCPA is to avoid any embarrassment</w:t>
      </w:r>
      <w:r w:rsidR="00AB1B96">
        <w:rPr>
          <w:rFonts w:ascii="Verdana" w:hAnsi="Verdana"/>
        </w:rPr>
        <w:t>s</w:t>
      </w:r>
      <w:r w:rsidR="00711A4D" w:rsidRPr="00F21685">
        <w:rPr>
          <w:rFonts w:ascii="Verdana" w:hAnsi="Verdana"/>
        </w:rPr>
        <w:t xml:space="preserve"> to the </w:t>
      </w:r>
      <w:r w:rsidR="003005C0">
        <w:rPr>
          <w:rFonts w:ascii="Verdana" w:hAnsi="Verdana"/>
        </w:rPr>
        <w:t xml:space="preserve">government and the office of the </w:t>
      </w:r>
      <w:r w:rsidR="00711A4D" w:rsidRPr="00F21685">
        <w:rPr>
          <w:rFonts w:ascii="Verdana" w:hAnsi="Verdana"/>
        </w:rPr>
        <w:t>A.G</w:t>
      </w:r>
      <w:r w:rsidR="003005C0">
        <w:rPr>
          <w:rFonts w:ascii="Verdana" w:hAnsi="Verdana"/>
        </w:rPr>
        <w:t xml:space="preserve"> </w:t>
      </w:r>
      <w:r w:rsidR="00721E33" w:rsidRPr="00F21685">
        <w:rPr>
          <w:rFonts w:ascii="Verdana" w:hAnsi="Verdana"/>
        </w:rPr>
        <w:t xml:space="preserve">– C.B.N V. INTERSTELLA COMMUNICATIONS LTD (SUPRA). </w:t>
      </w:r>
      <w:r w:rsidR="000B7F77">
        <w:rPr>
          <w:rFonts w:ascii="Verdana" w:hAnsi="Verdana"/>
        </w:rPr>
        <w:t>It is</w:t>
      </w:r>
      <w:r w:rsidR="000E4735">
        <w:rPr>
          <w:rFonts w:ascii="Verdana" w:hAnsi="Verdana"/>
        </w:rPr>
        <w:t xml:space="preserve"> indeed</w:t>
      </w:r>
      <w:r w:rsidR="000B7F77">
        <w:rPr>
          <w:rFonts w:ascii="Verdana" w:hAnsi="Verdana"/>
        </w:rPr>
        <w:t xml:space="preserve"> therefore absurd to require</w:t>
      </w:r>
      <w:r w:rsidR="000E4735">
        <w:rPr>
          <w:rFonts w:ascii="Verdana" w:hAnsi="Verdana"/>
        </w:rPr>
        <w:t xml:space="preserve"> the A.G</w:t>
      </w:r>
      <w:r w:rsidR="003D3CC5">
        <w:rPr>
          <w:rFonts w:ascii="Verdana" w:hAnsi="Verdana"/>
        </w:rPr>
        <w:t>,</w:t>
      </w:r>
      <w:r w:rsidR="000E4735">
        <w:rPr>
          <w:rFonts w:ascii="Verdana" w:hAnsi="Verdana"/>
        </w:rPr>
        <w:t xml:space="preserve"> who had all along been a party in this suit up to the stage of this post judgment proceeding, for his assent to execute the valid and subsisting judgment of this court against him</w:t>
      </w:r>
      <w:r w:rsidR="003D3CC5">
        <w:rPr>
          <w:rFonts w:ascii="Verdana" w:hAnsi="Verdana"/>
        </w:rPr>
        <w:t>.</w:t>
      </w:r>
    </w:p>
    <w:p w14:paraId="2F4A968B" w14:textId="77777777" w:rsidR="004D6A9A" w:rsidRPr="004D6A9A" w:rsidRDefault="004D6A9A" w:rsidP="004D6A9A">
      <w:pPr>
        <w:pStyle w:val="ListParagraph"/>
        <w:rPr>
          <w:rFonts w:ascii="Verdana" w:hAnsi="Verdana"/>
        </w:rPr>
      </w:pPr>
    </w:p>
    <w:p w14:paraId="56BEF298" w14:textId="5E052077" w:rsidR="00E30E16" w:rsidRPr="00F21685" w:rsidRDefault="00721E3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In th</w:t>
      </w:r>
      <w:r w:rsidR="004D6A9A">
        <w:rPr>
          <w:rFonts w:ascii="Verdana" w:hAnsi="Verdana"/>
        </w:rPr>
        <w:t>e instant proceeding</w:t>
      </w:r>
      <w:r w:rsidRPr="00F21685">
        <w:rPr>
          <w:rFonts w:ascii="Verdana" w:hAnsi="Verdana"/>
        </w:rPr>
        <w:t>, the judgment debtors/applicants</w:t>
      </w:r>
      <w:r w:rsidR="004D6A9A">
        <w:rPr>
          <w:rFonts w:ascii="Verdana" w:hAnsi="Verdana"/>
        </w:rPr>
        <w:t xml:space="preserve"> should not be allowed to</w:t>
      </w:r>
      <w:r w:rsidRPr="00F21685">
        <w:rPr>
          <w:rFonts w:ascii="Verdana" w:hAnsi="Verdana"/>
        </w:rPr>
        <w:t xml:space="preserve"> scuttle the garnishee proceedings by invoking section 84 of the SCPA, where it is clear that the A.G of Imo </w:t>
      </w:r>
      <w:r w:rsidR="000A2DBA">
        <w:rPr>
          <w:rFonts w:ascii="Verdana" w:hAnsi="Verdana"/>
        </w:rPr>
        <w:t>S</w:t>
      </w:r>
      <w:r w:rsidRPr="00F21685">
        <w:rPr>
          <w:rFonts w:ascii="Verdana" w:hAnsi="Verdana"/>
        </w:rPr>
        <w:t>tate ha</w:t>
      </w:r>
      <w:r w:rsidR="000A2DBA">
        <w:rPr>
          <w:rFonts w:ascii="Verdana" w:hAnsi="Verdana"/>
        </w:rPr>
        <w:t>d</w:t>
      </w:r>
      <w:r w:rsidRPr="00F21685">
        <w:rPr>
          <w:rFonts w:ascii="Verdana" w:hAnsi="Verdana"/>
        </w:rPr>
        <w:t xml:space="preserve"> been a party to the</w:t>
      </w:r>
      <w:r w:rsidR="000A2DBA">
        <w:rPr>
          <w:rFonts w:ascii="Verdana" w:hAnsi="Verdana"/>
        </w:rPr>
        <w:t xml:space="preserve"> suit and in the</w:t>
      </w:r>
      <w:r w:rsidRPr="00F21685">
        <w:rPr>
          <w:rFonts w:ascii="Verdana" w:hAnsi="Verdana"/>
        </w:rPr>
        <w:t xml:space="preserve"> transactions </w:t>
      </w:r>
      <w:r w:rsidR="001C112D">
        <w:rPr>
          <w:rFonts w:ascii="Verdana" w:hAnsi="Verdana"/>
        </w:rPr>
        <w:t>preceding</w:t>
      </w:r>
      <w:r w:rsidRPr="00F21685">
        <w:rPr>
          <w:rFonts w:ascii="Verdana" w:hAnsi="Verdana"/>
        </w:rPr>
        <w:t xml:space="preserve"> </w:t>
      </w:r>
      <w:r w:rsidR="001C112D">
        <w:rPr>
          <w:rFonts w:ascii="Verdana" w:hAnsi="Verdana"/>
        </w:rPr>
        <w:t>and during these</w:t>
      </w:r>
      <w:r w:rsidRPr="00F21685">
        <w:rPr>
          <w:rFonts w:ascii="Verdana" w:hAnsi="Verdana"/>
        </w:rPr>
        <w:t xml:space="preserve"> garnishee proceedings.  </w:t>
      </w:r>
    </w:p>
    <w:p w14:paraId="766DA1C2" w14:textId="77777777" w:rsidR="00721E33" w:rsidRPr="00F21685" w:rsidRDefault="00721E33" w:rsidP="006962A9">
      <w:pPr>
        <w:pStyle w:val="ListParagraph"/>
        <w:spacing w:after="100" w:afterAutospacing="1" w:line="240" w:lineRule="auto"/>
        <w:ind w:left="142"/>
        <w:jc w:val="both"/>
        <w:rPr>
          <w:rFonts w:ascii="Verdana" w:hAnsi="Verdana"/>
        </w:rPr>
      </w:pPr>
    </w:p>
    <w:p w14:paraId="66E388EF" w14:textId="387FA9E2" w:rsidR="00721E33" w:rsidRDefault="00721E33" w:rsidP="006962A9">
      <w:pPr>
        <w:pStyle w:val="ListParagraph"/>
        <w:numPr>
          <w:ilvl w:val="0"/>
          <w:numId w:val="3"/>
        </w:numPr>
        <w:spacing w:after="100" w:afterAutospacing="1" w:line="240" w:lineRule="auto"/>
        <w:ind w:left="142" w:firstLine="0"/>
        <w:jc w:val="both"/>
        <w:rPr>
          <w:rFonts w:ascii="Verdana" w:hAnsi="Verdana"/>
        </w:rPr>
      </w:pPr>
      <w:r w:rsidRPr="00F21685">
        <w:rPr>
          <w:rFonts w:ascii="Verdana" w:hAnsi="Verdana"/>
        </w:rPr>
        <w:t xml:space="preserve">The application of the judgment debtors/applicants is bound to fail on the strength of the foregoing, and same is discountenanced and hereby struck out for lacking </w:t>
      </w:r>
      <w:r w:rsidR="00AF10CD">
        <w:rPr>
          <w:rFonts w:ascii="Verdana" w:hAnsi="Verdana"/>
        </w:rPr>
        <w:t>any</w:t>
      </w:r>
      <w:r w:rsidRPr="00F21685">
        <w:rPr>
          <w:rFonts w:ascii="Verdana" w:hAnsi="Verdana"/>
        </w:rPr>
        <w:t xml:space="preserve"> merit with a </w:t>
      </w:r>
      <w:r w:rsidR="00C82167">
        <w:rPr>
          <w:rFonts w:ascii="Verdana" w:hAnsi="Verdana"/>
        </w:rPr>
        <w:t xml:space="preserve">reasonable </w:t>
      </w:r>
      <w:r w:rsidRPr="00F21685">
        <w:rPr>
          <w:rFonts w:ascii="Verdana" w:hAnsi="Verdana"/>
        </w:rPr>
        <w:t>cost of N</w:t>
      </w:r>
      <w:r w:rsidR="00B46940">
        <w:rPr>
          <w:rFonts w:ascii="Verdana" w:hAnsi="Verdana"/>
        </w:rPr>
        <w:t>250</w:t>
      </w:r>
      <w:r w:rsidRPr="00F21685">
        <w:rPr>
          <w:rFonts w:ascii="Verdana" w:hAnsi="Verdana"/>
        </w:rPr>
        <w:t>,000.00 against the</w:t>
      </w:r>
      <w:r w:rsidR="00414BEE">
        <w:rPr>
          <w:rFonts w:ascii="Verdana" w:hAnsi="Verdana"/>
        </w:rPr>
        <w:t>m</w:t>
      </w:r>
      <w:r w:rsidRPr="00F21685">
        <w:rPr>
          <w:rFonts w:ascii="Verdana" w:hAnsi="Verdana"/>
        </w:rPr>
        <w:t xml:space="preserve"> in favour of the judgment creditor/respondent.  </w:t>
      </w:r>
    </w:p>
    <w:p w14:paraId="1BF84AE0" w14:textId="77777777" w:rsidR="00E0112E" w:rsidRPr="00E0112E" w:rsidRDefault="00E0112E" w:rsidP="00E0112E">
      <w:pPr>
        <w:pStyle w:val="ListParagraph"/>
        <w:rPr>
          <w:rFonts w:ascii="Verdana" w:hAnsi="Verdana"/>
        </w:rPr>
      </w:pPr>
    </w:p>
    <w:p w14:paraId="14A513E1" w14:textId="33A89EF1" w:rsidR="00E0112E" w:rsidRPr="00F21685" w:rsidRDefault="00E0112E" w:rsidP="006962A9">
      <w:pPr>
        <w:pStyle w:val="ListParagraph"/>
        <w:numPr>
          <w:ilvl w:val="0"/>
          <w:numId w:val="3"/>
        </w:numPr>
        <w:spacing w:after="100" w:afterAutospacing="1" w:line="240" w:lineRule="auto"/>
        <w:ind w:left="142" w:firstLine="0"/>
        <w:jc w:val="both"/>
        <w:rPr>
          <w:rFonts w:ascii="Verdana" w:hAnsi="Verdana"/>
        </w:rPr>
      </w:pPr>
      <w:r>
        <w:rPr>
          <w:rFonts w:ascii="Verdana" w:hAnsi="Verdana"/>
        </w:rPr>
        <w:t>Ruling is delivered accordingly.</w:t>
      </w:r>
    </w:p>
    <w:p w14:paraId="42092399" w14:textId="77777777" w:rsidR="00571272" w:rsidRPr="00F21685" w:rsidRDefault="000B0839" w:rsidP="006962A9">
      <w:pPr>
        <w:pStyle w:val="ListParagraph"/>
        <w:ind w:left="142"/>
        <w:rPr>
          <w:rFonts w:ascii="Verdana" w:hAnsi="Verdana"/>
        </w:rPr>
      </w:pPr>
      <w:r w:rsidRPr="00F21685">
        <w:rPr>
          <w:rFonts w:ascii="Verdana" w:hAnsi="Verdana"/>
        </w:rPr>
        <w:t xml:space="preserve"> </w:t>
      </w:r>
    </w:p>
    <w:p w14:paraId="73A77833" w14:textId="6C3F2365" w:rsidR="00571272" w:rsidRPr="009B2E42" w:rsidRDefault="00571272" w:rsidP="006962A9">
      <w:pPr>
        <w:spacing w:after="100" w:afterAutospacing="1" w:line="240" w:lineRule="auto"/>
        <w:ind w:left="142"/>
        <w:jc w:val="center"/>
        <w:rPr>
          <w:rFonts w:ascii="Verdana" w:hAnsi="Verdana"/>
          <w:sz w:val="20"/>
          <w:szCs w:val="20"/>
        </w:rPr>
      </w:pPr>
      <w:r w:rsidRPr="009B2E42">
        <w:rPr>
          <w:rFonts w:ascii="Verdana" w:hAnsi="Verdana"/>
          <w:sz w:val="20"/>
          <w:szCs w:val="20"/>
        </w:rPr>
        <w:t>Delivered in Owerri this</w:t>
      </w:r>
      <w:r w:rsidR="00CE6E39">
        <w:rPr>
          <w:rFonts w:ascii="Verdana" w:hAnsi="Verdana"/>
          <w:sz w:val="20"/>
          <w:szCs w:val="20"/>
        </w:rPr>
        <w:t xml:space="preserve"> 27</w:t>
      </w:r>
      <w:r w:rsidR="00CE6E39" w:rsidRPr="00CE6E39">
        <w:rPr>
          <w:rFonts w:ascii="Verdana" w:hAnsi="Verdana"/>
          <w:sz w:val="20"/>
          <w:szCs w:val="20"/>
          <w:vertAlign w:val="superscript"/>
        </w:rPr>
        <w:t>th</w:t>
      </w:r>
      <w:r w:rsidR="00CE6E39">
        <w:rPr>
          <w:rFonts w:ascii="Verdana" w:hAnsi="Verdana"/>
          <w:sz w:val="20"/>
          <w:szCs w:val="20"/>
        </w:rPr>
        <w:t xml:space="preserve"> </w:t>
      </w:r>
      <w:r w:rsidR="00307771">
        <w:rPr>
          <w:rFonts w:ascii="Verdana" w:hAnsi="Verdana"/>
          <w:sz w:val="20"/>
          <w:szCs w:val="20"/>
        </w:rPr>
        <w:t>Day of May</w:t>
      </w:r>
      <w:r w:rsidRPr="009B2E42">
        <w:rPr>
          <w:rFonts w:ascii="Verdana" w:hAnsi="Verdana"/>
          <w:sz w:val="20"/>
          <w:szCs w:val="20"/>
        </w:rPr>
        <w:t xml:space="preserve"> </w:t>
      </w:r>
      <w:r w:rsidR="000B0839" w:rsidRPr="009B2E42">
        <w:rPr>
          <w:rFonts w:ascii="Verdana" w:hAnsi="Verdana"/>
          <w:sz w:val="20"/>
          <w:szCs w:val="20"/>
        </w:rPr>
        <w:t>2022</w:t>
      </w:r>
      <w:r w:rsidRPr="009B2E42">
        <w:rPr>
          <w:rFonts w:ascii="Verdana" w:hAnsi="Verdana"/>
          <w:sz w:val="20"/>
          <w:szCs w:val="20"/>
        </w:rPr>
        <w:t>.</w:t>
      </w:r>
    </w:p>
    <w:p w14:paraId="581A9D16" w14:textId="77777777" w:rsidR="009B2E42" w:rsidRDefault="009B2E42" w:rsidP="006962A9">
      <w:pPr>
        <w:spacing w:after="0" w:line="240" w:lineRule="auto"/>
        <w:ind w:left="142"/>
        <w:jc w:val="center"/>
        <w:rPr>
          <w:rFonts w:ascii="Verdana" w:hAnsi="Verdana"/>
        </w:rPr>
      </w:pPr>
    </w:p>
    <w:p w14:paraId="65211712" w14:textId="77777777" w:rsidR="009B2E42" w:rsidRDefault="009B2E42" w:rsidP="006962A9">
      <w:pPr>
        <w:spacing w:after="0" w:line="240" w:lineRule="auto"/>
        <w:ind w:left="142"/>
        <w:jc w:val="center"/>
        <w:rPr>
          <w:rFonts w:ascii="Verdana" w:hAnsi="Verdana"/>
        </w:rPr>
      </w:pPr>
    </w:p>
    <w:p w14:paraId="3E371220" w14:textId="77777777" w:rsidR="009B2E42" w:rsidRDefault="009B2E42" w:rsidP="007965FE">
      <w:pPr>
        <w:tabs>
          <w:tab w:val="left" w:pos="284"/>
        </w:tabs>
        <w:spacing w:after="0" w:line="240" w:lineRule="auto"/>
        <w:ind w:left="142"/>
        <w:jc w:val="center"/>
        <w:rPr>
          <w:rFonts w:ascii="Verdana" w:hAnsi="Verdana"/>
        </w:rPr>
      </w:pPr>
    </w:p>
    <w:p w14:paraId="61B8C352" w14:textId="77777777" w:rsidR="00692F2F" w:rsidRDefault="00692F2F" w:rsidP="007965FE">
      <w:pPr>
        <w:tabs>
          <w:tab w:val="left" w:pos="284"/>
        </w:tabs>
        <w:spacing w:after="0" w:line="240" w:lineRule="auto"/>
        <w:ind w:left="142"/>
        <w:jc w:val="center"/>
        <w:rPr>
          <w:rFonts w:ascii="Verdana" w:hAnsi="Verdana"/>
        </w:rPr>
      </w:pPr>
    </w:p>
    <w:p w14:paraId="7ABB31A3" w14:textId="129BE11B" w:rsidR="00571272" w:rsidRPr="00F21685" w:rsidRDefault="009B2E42" w:rsidP="006962A9">
      <w:pPr>
        <w:spacing w:after="0" w:line="240" w:lineRule="auto"/>
        <w:ind w:left="142"/>
        <w:jc w:val="center"/>
        <w:rPr>
          <w:rFonts w:ascii="Verdana" w:hAnsi="Verdana"/>
        </w:rPr>
      </w:pPr>
      <w:r>
        <w:rPr>
          <w:rFonts w:ascii="Verdana" w:hAnsi="Verdana"/>
        </w:rPr>
        <w:t>Mr</w:t>
      </w:r>
      <w:r w:rsidR="00571272" w:rsidRPr="00F21685">
        <w:rPr>
          <w:rFonts w:ascii="Verdana" w:hAnsi="Verdana"/>
        </w:rPr>
        <w:t>. Justice Ibrahim Suleiman Galadima,</w:t>
      </w:r>
    </w:p>
    <w:p w14:paraId="7A6C36D1" w14:textId="096D9BE4" w:rsidR="00D35A30" w:rsidRDefault="00571272" w:rsidP="006962A9">
      <w:pPr>
        <w:spacing w:after="0" w:line="240" w:lineRule="auto"/>
        <w:ind w:left="142"/>
        <w:jc w:val="center"/>
        <w:rPr>
          <w:rFonts w:ascii="Verdana" w:hAnsi="Verdana"/>
        </w:rPr>
      </w:pPr>
      <w:r w:rsidRPr="00F21685">
        <w:rPr>
          <w:rFonts w:ascii="Verdana" w:hAnsi="Verdana"/>
        </w:rPr>
        <w:t>Judge.</w:t>
      </w:r>
    </w:p>
    <w:p w14:paraId="12B086B6" w14:textId="77777777" w:rsidR="007965FE" w:rsidRDefault="007965FE" w:rsidP="007965FE">
      <w:pPr>
        <w:spacing w:after="0" w:line="240" w:lineRule="auto"/>
        <w:ind w:left="142"/>
        <w:rPr>
          <w:rFonts w:ascii="Verdana" w:hAnsi="Verdana"/>
        </w:rPr>
      </w:pPr>
    </w:p>
    <w:p w14:paraId="64D51978" w14:textId="77777777" w:rsidR="007965FE" w:rsidRDefault="007965FE" w:rsidP="007965FE">
      <w:pPr>
        <w:spacing w:after="0" w:line="240" w:lineRule="auto"/>
        <w:ind w:left="142"/>
        <w:rPr>
          <w:rFonts w:ascii="Verdana" w:hAnsi="Verdana"/>
        </w:rPr>
      </w:pPr>
    </w:p>
    <w:p w14:paraId="224B3AD3" w14:textId="77777777" w:rsidR="007965FE" w:rsidRDefault="007965FE" w:rsidP="007965FE">
      <w:pPr>
        <w:rPr>
          <w:rFonts w:ascii="Verdana" w:hAnsi="Verdana"/>
        </w:rPr>
      </w:pPr>
    </w:p>
    <w:p w14:paraId="3B1C7609" w14:textId="77777777" w:rsidR="007965FE" w:rsidRPr="00692F2F" w:rsidRDefault="007965FE" w:rsidP="00512BB0">
      <w:pPr>
        <w:pStyle w:val="NoSpacing"/>
        <w:jc w:val="center"/>
        <w:rPr>
          <w:sz w:val="20"/>
          <w:szCs w:val="20"/>
          <w:u w:val="single"/>
        </w:rPr>
      </w:pPr>
      <w:r w:rsidRPr="00692F2F">
        <w:rPr>
          <w:sz w:val="20"/>
          <w:szCs w:val="20"/>
          <w:u w:val="single"/>
        </w:rPr>
        <w:t>Public access to NICN decisions:</w:t>
      </w:r>
    </w:p>
    <w:p w14:paraId="4DE918C0" w14:textId="77777777" w:rsidR="007965FE" w:rsidRPr="00692F2F" w:rsidRDefault="007965FE" w:rsidP="007965FE">
      <w:pPr>
        <w:pStyle w:val="NoSpacing"/>
        <w:jc w:val="both"/>
        <w:rPr>
          <w:sz w:val="20"/>
          <w:szCs w:val="20"/>
        </w:rPr>
      </w:pPr>
      <w:r w:rsidRPr="00692F2F">
        <w:rPr>
          <w:sz w:val="20"/>
          <w:szCs w:val="20"/>
        </w:rPr>
        <w:t xml:space="preserve">Judgments and reasons for the judgments are published, in full, online at </w:t>
      </w:r>
      <w:hyperlink r:id="rId7" w:history="1">
        <w:r w:rsidRPr="00692F2F">
          <w:rPr>
            <w:rStyle w:val="Hyperlink"/>
            <w:rFonts w:ascii="Verdana" w:hAnsi="Verdana"/>
            <w:sz w:val="20"/>
            <w:szCs w:val="20"/>
          </w:rPr>
          <w:t>https://nicnadr.gov.ng</w:t>
        </w:r>
      </w:hyperlink>
      <w:r w:rsidRPr="00692F2F">
        <w:rPr>
          <w:sz w:val="20"/>
          <w:szCs w:val="20"/>
        </w:rPr>
        <w:t>. NICN decisions are available to the general public shortly after a copy each has been sent to the claimant(s) and respondent(s) in a case.</w:t>
      </w:r>
    </w:p>
    <w:p w14:paraId="026763A8" w14:textId="77777777" w:rsidR="007965FE" w:rsidRPr="00692F2F" w:rsidRDefault="007965FE" w:rsidP="007965FE">
      <w:pPr>
        <w:pStyle w:val="NoSpacing"/>
        <w:jc w:val="both"/>
        <w:rPr>
          <w:sz w:val="20"/>
          <w:szCs w:val="20"/>
        </w:rPr>
      </w:pPr>
    </w:p>
    <w:p w14:paraId="5366D8B4" w14:textId="77777777" w:rsidR="007965FE" w:rsidRPr="00692F2F" w:rsidRDefault="007965FE" w:rsidP="007965FE">
      <w:pPr>
        <w:rPr>
          <w:rFonts w:ascii="Verdana" w:hAnsi="Verdana"/>
          <w:sz w:val="20"/>
          <w:szCs w:val="20"/>
        </w:rPr>
      </w:pPr>
    </w:p>
    <w:p w14:paraId="330A0414" w14:textId="77777777" w:rsidR="007965FE" w:rsidRPr="00F21685" w:rsidRDefault="007965FE" w:rsidP="007965FE">
      <w:pPr>
        <w:spacing w:after="0" w:line="240" w:lineRule="auto"/>
        <w:ind w:left="142"/>
        <w:rPr>
          <w:rFonts w:ascii="Verdana" w:hAnsi="Verdana"/>
        </w:rPr>
      </w:pPr>
    </w:p>
    <w:sectPr w:rsidR="007965FE" w:rsidRPr="00F21685" w:rsidSect="00A21FD2">
      <w:footerReference w:type="even" r:id="rId8"/>
      <w:footerReference w:type="default" r:id="rId9"/>
      <w:pgSz w:w="11900" w:h="16840"/>
      <w:pgMar w:top="6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BC02" w14:textId="77777777" w:rsidR="00D74C6F" w:rsidRDefault="00D74C6F" w:rsidP="002A378B">
      <w:pPr>
        <w:spacing w:after="0" w:line="240" w:lineRule="auto"/>
      </w:pPr>
      <w:r>
        <w:separator/>
      </w:r>
    </w:p>
  </w:endnote>
  <w:endnote w:type="continuationSeparator" w:id="0">
    <w:p w14:paraId="6AFDD417" w14:textId="77777777" w:rsidR="00D74C6F" w:rsidRDefault="00D74C6F" w:rsidP="002A378B">
      <w:pPr>
        <w:spacing w:after="0" w:line="240" w:lineRule="auto"/>
      </w:pPr>
      <w:r>
        <w:continuationSeparator/>
      </w:r>
    </w:p>
  </w:endnote>
  <w:endnote w:type="continuationNotice" w:id="1">
    <w:p w14:paraId="7216B1DE" w14:textId="77777777" w:rsidR="00D74C6F" w:rsidRDefault="00D74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462003"/>
      <w:docPartObj>
        <w:docPartGallery w:val="Page Numbers (Bottom of Page)"/>
        <w:docPartUnique/>
      </w:docPartObj>
    </w:sdtPr>
    <w:sdtEndPr>
      <w:rPr>
        <w:rStyle w:val="PageNumber"/>
      </w:rPr>
    </w:sdtEndPr>
    <w:sdtContent>
      <w:p w14:paraId="5D9AD3B3" w14:textId="77777777" w:rsidR="00711A4D" w:rsidRDefault="00711A4D" w:rsidP="00B53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86C12" w14:textId="77777777" w:rsidR="00711A4D" w:rsidRDefault="00711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432267"/>
      <w:docPartObj>
        <w:docPartGallery w:val="Page Numbers (Bottom of Page)"/>
        <w:docPartUnique/>
      </w:docPartObj>
    </w:sdtPr>
    <w:sdtEndPr>
      <w:rPr>
        <w:rStyle w:val="PageNumber"/>
      </w:rPr>
    </w:sdtEndPr>
    <w:sdtContent>
      <w:p w14:paraId="16F2E6DE" w14:textId="77777777" w:rsidR="00711A4D" w:rsidRDefault="00711A4D" w:rsidP="00B53E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25E97">
          <w:rPr>
            <w:rStyle w:val="PageNumber"/>
            <w:noProof/>
          </w:rPr>
          <w:t>1</w:t>
        </w:r>
        <w:r>
          <w:rPr>
            <w:rStyle w:val="PageNumber"/>
          </w:rPr>
          <w:fldChar w:fldCharType="end"/>
        </w:r>
      </w:p>
    </w:sdtContent>
  </w:sdt>
  <w:p w14:paraId="7F8F806D" w14:textId="77777777" w:rsidR="00711A4D" w:rsidRDefault="0071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026F" w14:textId="77777777" w:rsidR="00D74C6F" w:rsidRDefault="00D74C6F" w:rsidP="002A378B">
      <w:pPr>
        <w:spacing w:after="0" w:line="240" w:lineRule="auto"/>
      </w:pPr>
      <w:r>
        <w:separator/>
      </w:r>
    </w:p>
  </w:footnote>
  <w:footnote w:type="continuationSeparator" w:id="0">
    <w:p w14:paraId="4C029ED3" w14:textId="77777777" w:rsidR="00D74C6F" w:rsidRDefault="00D74C6F" w:rsidP="002A378B">
      <w:pPr>
        <w:spacing w:after="0" w:line="240" w:lineRule="auto"/>
      </w:pPr>
      <w:r>
        <w:continuationSeparator/>
      </w:r>
    </w:p>
  </w:footnote>
  <w:footnote w:type="continuationNotice" w:id="1">
    <w:p w14:paraId="15019FF9" w14:textId="77777777" w:rsidR="00D74C6F" w:rsidRDefault="00D74C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DAC"/>
    <w:multiLevelType w:val="hybridMultilevel"/>
    <w:tmpl w:val="F6664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63653"/>
    <w:multiLevelType w:val="hybridMultilevel"/>
    <w:tmpl w:val="6D889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534DF9"/>
    <w:multiLevelType w:val="hybridMultilevel"/>
    <w:tmpl w:val="208054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6203233">
    <w:abstractNumId w:val="1"/>
  </w:num>
  <w:num w:numId="2" w16cid:durableId="376204786">
    <w:abstractNumId w:val="0"/>
  </w:num>
  <w:num w:numId="3" w16cid:durableId="1389839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72"/>
    <w:rsid w:val="000252DA"/>
    <w:rsid w:val="0002788B"/>
    <w:rsid w:val="00031858"/>
    <w:rsid w:val="00072E20"/>
    <w:rsid w:val="000946F6"/>
    <w:rsid w:val="00096B16"/>
    <w:rsid w:val="000A03F3"/>
    <w:rsid w:val="000A2DBA"/>
    <w:rsid w:val="000B0839"/>
    <w:rsid w:val="000B7F77"/>
    <w:rsid w:val="000D5F5F"/>
    <w:rsid w:val="000E3B42"/>
    <w:rsid w:val="000E4735"/>
    <w:rsid w:val="000E4E1F"/>
    <w:rsid w:val="000E4F23"/>
    <w:rsid w:val="00111CBB"/>
    <w:rsid w:val="00125682"/>
    <w:rsid w:val="00135111"/>
    <w:rsid w:val="0014309A"/>
    <w:rsid w:val="00162036"/>
    <w:rsid w:val="00170A33"/>
    <w:rsid w:val="00172D21"/>
    <w:rsid w:val="00176EE6"/>
    <w:rsid w:val="001B1E6E"/>
    <w:rsid w:val="001C112D"/>
    <w:rsid w:val="001F361A"/>
    <w:rsid w:val="001F7304"/>
    <w:rsid w:val="00215CD3"/>
    <w:rsid w:val="00220580"/>
    <w:rsid w:val="00226DB4"/>
    <w:rsid w:val="00226E48"/>
    <w:rsid w:val="002306C1"/>
    <w:rsid w:val="00242B68"/>
    <w:rsid w:val="00266183"/>
    <w:rsid w:val="00270BAB"/>
    <w:rsid w:val="0027718C"/>
    <w:rsid w:val="0028636E"/>
    <w:rsid w:val="00296207"/>
    <w:rsid w:val="002A378B"/>
    <w:rsid w:val="002C785B"/>
    <w:rsid w:val="002D5A71"/>
    <w:rsid w:val="002D5C02"/>
    <w:rsid w:val="002E60B6"/>
    <w:rsid w:val="002F1A00"/>
    <w:rsid w:val="002F2C7D"/>
    <w:rsid w:val="002F3735"/>
    <w:rsid w:val="003005C0"/>
    <w:rsid w:val="003029FD"/>
    <w:rsid w:val="00307771"/>
    <w:rsid w:val="00317C19"/>
    <w:rsid w:val="003255B0"/>
    <w:rsid w:val="00353771"/>
    <w:rsid w:val="003775F5"/>
    <w:rsid w:val="00390A2F"/>
    <w:rsid w:val="003D3CC5"/>
    <w:rsid w:val="003D45A7"/>
    <w:rsid w:val="003E2AD3"/>
    <w:rsid w:val="00414752"/>
    <w:rsid w:val="00414BEE"/>
    <w:rsid w:val="00415A03"/>
    <w:rsid w:val="00417F95"/>
    <w:rsid w:val="00425E97"/>
    <w:rsid w:val="00433DDD"/>
    <w:rsid w:val="0045189B"/>
    <w:rsid w:val="004609A7"/>
    <w:rsid w:val="004651FC"/>
    <w:rsid w:val="004757BB"/>
    <w:rsid w:val="004871B1"/>
    <w:rsid w:val="0049401A"/>
    <w:rsid w:val="004A567A"/>
    <w:rsid w:val="004C1A1B"/>
    <w:rsid w:val="004C38A9"/>
    <w:rsid w:val="004D6A9A"/>
    <w:rsid w:val="004E1F97"/>
    <w:rsid w:val="004E422A"/>
    <w:rsid w:val="00510C99"/>
    <w:rsid w:val="00512BB0"/>
    <w:rsid w:val="00520F27"/>
    <w:rsid w:val="005267ED"/>
    <w:rsid w:val="00526DF1"/>
    <w:rsid w:val="0053097F"/>
    <w:rsid w:val="00532C43"/>
    <w:rsid w:val="00540A8B"/>
    <w:rsid w:val="005416A4"/>
    <w:rsid w:val="00544115"/>
    <w:rsid w:val="00555635"/>
    <w:rsid w:val="0056136F"/>
    <w:rsid w:val="005672AB"/>
    <w:rsid w:val="00570459"/>
    <w:rsid w:val="00570F8A"/>
    <w:rsid w:val="00571272"/>
    <w:rsid w:val="0059321E"/>
    <w:rsid w:val="005B04F9"/>
    <w:rsid w:val="005B47D3"/>
    <w:rsid w:val="005C0A9D"/>
    <w:rsid w:val="005E5544"/>
    <w:rsid w:val="00617FE8"/>
    <w:rsid w:val="0062141B"/>
    <w:rsid w:val="006377D2"/>
    <w:rsid w:val="00640E32"/>
    <w:rsid w:val="00655EA0"/>
    <w:rsid w:val="006565BE"/>
    <w:rsid w:val="00661364"/>
    <w:rsid w:val="00664F65"/>
    <w:rsid w:val="00665E9D"/>
    <w:rsid w:val="00666BE4"/>
    <w:rsid w:val="00676194"/>
    <w:rsid w:val="00692F2F"/>
    <w:rsid w:val="00693010"/>
    <w:rsid w:val="00695C9A"/>
    <w:rsid w:val="006962A9"/>
    <w:rsid w:val="006D117D"/>
    <w:rsid w:val="006E479B"/>
    <w:rsid w:val="006E70F2"/>
    <w:rsid w:val="006F225A"/>
    <w:rsid w:val="00711A4D"/>
    <w:rsid w:val="00721E33"/>
    <w:rsid w:val="00732B92"/>
    <w:rsid w:val="00736112"/>
    <w:rsid w:val="00736611"/>
    <w:rsid w:val="007614C5"/>
    <w:rsid w:val="007965FE"/>
    <w:rsid w:val="00796D30"/>
    <w:rsid w:val="007A0CD1"/>
    <w:rsid w:val="007B2B48"/>
    <w:rsid w:val="007B47AF"/>
    <w:rsid w:val="007C447A"/>
    <w:rsid w:val="007E42D4"/>
    <w:rsid w:val="007E59A1"/>
    <w:rsid w:val="007E78B0"/>
    <w:rsid w:val="00807554"/>
    <w:rsid w:val="00807BC9"/>
    <w:rsid w:val="00813D1B"/>
    <w:rsid w:val="00827DCD"/>
    <w:rsid w:val="00867EF1"/>
    <w:rsid w:val="008701E3"/>
    <w:rsid w:val="00874729"/>
    <w:rsid w:val="008858A4"/>
    <w:rsid w:val="008B7B95"/>
    <w:rsid w:val="008D02C1"/>
    <w:rsid w:val="008E6C59"/>
    <w:rsid w:val="008F7AB1"/>
    <w:rsid w:val="009047D4"/>
    <w:rsid w:val="00911CEE"/>
    <w:rsid w:val="0091606C"/>
    <w:rsid w:val="00923F8A"/>
    <w:rsid w:val="009262B0"/>
    <w:rsid w:val="00930746"/>
    <w:rsid w:val="00931A39"/>
    <w:rsid w:val="00936AE0"/>
    <w:rsid w:val="009837C5"/>
    <w:rsid w:val="00992C64"/>
    <w:rsid w:val="00996CE4"/>
    <w:rsid w:val="009A100A"/>
    <w:rsid w:val="009A385C"/>
    <w:rsid w:val="009A7EC7"/>
    <w:rsid w:val="009B2E42"/>
    <w:rsid w:val="009B58C4"/>
    <w:rsid w:val="009C0CA6"/>
    <w:rsid w:val="009E4808"/>
    <w:rsid w:val="009E7BA4"/>
    <w:rsid w:val="009E7E77"/>
    <w:rsid w:val="009F1518"/>
    <w:rsid w:val="00A21FD2"/>
    <w:rsid w:val="00A336FF"/>
    <w:rsid w:val="00A40381"/>
    <w:rsid w:val="00A42E83"/>
    <w:rsid w:val="00A54226"/>
    <w:rsid w:val="00A61E25"/>
    <w:rsid w:val="00A7453A"/>
    <w:rsid w:val="00A93252"/>
    <w:rsid w:val="00A93CB7"/>
    <w:rsid w:val="00AB1B96"/>
    <w:rsid w:val="00AD20DB"/>
    <w:rsid w:val="00AF10CD"/>
    <w:rsid w:val="00AF4A37"/>
    <w:rsid w:val="00B00D9E"/>
    <w:rsid w:val="00B26837"/>
    <w:rsid w:val="00B46940"/>
    <w:rsid w:val="00B52785"/>
    <w:rsid w:val="00B53884"/>
    <w:rsid w:val="00B53E63"/>
    <w:rsid w:val="00B556EB"/>
    <w:rsid w:val="00B86D95"/>
    <w:rsid w:val="00B93D00"/>
    <w:rsid w:val="00BA5E6A"/>
    <w:rsid w:val="00BB2699"/>
    <w:rsid w:val="00BB504D"/>
    <w:rsid w:val="00BE0A7D"/>
    <w:rsid w:val="00BE3E9E"/>
    <w:rsid w:val="00BE5D62"/>
    <w:rsid w:val="00BF480F"/>
    <w:rsid w:val="00C0188B"/>
    <w:rsid w:val="00C0588B"/>
    <w:rsid w:val="00C07490"/>
    <w:rsid w:val="00C23410"/>
    <w:rsid w:val="00C350BA"/>
    <w:rsid w:val="00C42097"/>
    <w:rsid w:val="00C47BA3"/>
    <w:rsid w:val="00C5442A"/>
    <w:rsid w:val="00C54AE9"/>
    <w:rsid w:val="00C578E0"/>
    <w:rsid w:val="00C71792"/>
    <w:rsid w:val="00C72829"/>
    <w:rsid w:val="00C73AAD"/>
    <w:rsid w:val="00C82167"/>
    <w:rsid w:val="00C83C63"/>
    <w:rsid w:val="00CA1D4D"/>
    <w:rsid w:val="00CC2519"/>
    <w:rsid w:val="00CD0BF8"/>
    <w:rsid w:val="00CE6E39"/>
    <w:rsid w:val="00CF0260"/>
    <w:rsid w:val="00CF338A"/>
    <w:rsid w:val="00D0099E"/>
    <w:rsid w:val="00D2298B"/>
    <w:rsid w:val="00D35A30"/>
    <w:rsid w:val="00D46657"/>
    <w:rsid w:val="00D46842"/>
    <w:rsid w:val="00D57C46"/>
    <w:rsid w:val="00D65937"/>
    <w:rsid w:val="00D65CA2"/>
    <w:rsid w:val="00D65F94"/>
    <w:rsid w:val="00D74C6F"/>
    <w:rsid w:val="00D8427E"/>
    <w:rsid w:val="00DC4367"/>
    <w:rsid w:val="00E0112E"/>
    <w:rsid w:val="00E16DDF"/>
    <w:rsid w:val="00E26E3E"/>
    <w:rsid w:val="00E27767"/>
    <w:rsid w:val="00E30E16"/>
    <w:rsid w:val="00E74903"/>
    <w:rsid w:val="00EA1FCD"/>
    <w:rsid w:val="00EC1E7B"/>
    <w:rsid w:val="00EE1E7A"/>
    <w:rsid w:val="00EF60DF"/>
    <w:rsid w:val="00F07436"/>
    <w:rsid w:val="00F21685"/>
    <w:rsid w:val="00F22ACB"/>
    <w:rsid w:val="00F41A15"/>
    <w:rsid w:val="00F46AE7"/>
    <w:rsid w:val="00F47682"/>
    <w:rsid w:val="00F71EA3"/>
    <w:rsid w:val="00F80E5A"/>
    <w:rsid w:val="00F9633F"/>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9290"/>
  <w15:docId w15:val="{6D4935B7-1E48-EA49-9C4B-B7D59D6F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72"/>
    <w:pPr>
      <w:ind w:left="720"/>
      <w:contextualSpacing/>
    </w:pPr>
  </w:style>
  <w:style w:type="paragraph" w:styleId="NoSpacing">
    <w:name w:val="No Spacing"/>
    <w:uiPriority w:val="1"/>
    <w:qFormat/>
    <w:rsid w:val="00571272"/>
    <w:pPr>
      <w:spacing w:after="0" w:line="240" w:lineRule="auto"/>
    </w:pPr>
  </w:style>
  <w:style w:type="paragraph" w:styleId="Footer">
    <w:name w:val="footer"/>
    <w:basedOn w:val="Normal"/>
    <w:link w:val="FooterChar"/>
    <w:uiPriority w:val="99"/>
    <w:unhideWhenUsed/>
    <w:rsid w:val="00571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272"/>
  </w:style>
  <w:style w:type="character" w:styleId="PageNumber">
    <w:name w:val="page number"/>
    <w:basedOn w:val="DefaultParagraphFont"/>
    <w:uiPriority w:val="99"/>
    <w:semiHidden/>
    <w:unhideWhenUsed/>
    <w:rsid w:val="00571272"/>
  </w:style>
  <w:style w:type="character" w:styleId="Hyperlink">
    <w:name w:val="Hyperlink"/>
    <w:basedOn w:val="DefaultParagraphFont"/>
    <w:uiPriority w:val="99"/>
    <w:unhideWhenUsed/>
    <w:rsid w:val="007965FE"/>
    <w:rPr>
      <w:color w:val="0000FF" w:themeColor="hyperlink"/>
      <w:u w:val="single"/>
    </w:rPr>
  </w:style>
  <w:style w:type="paragraph" w:styleId="Header">
    <w:name w:val="header"/>
    <w:basedOn w:val="Normal"/>
    <w:link w:val="HeaderChar"/>
    <w:uiPriority w:val="99"/>
    <w:semiHidden/>
    <w:unhideWhenUsed/>
    <w:rsid w:val="008B7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nicnadr.gov.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 galadima</cp:lastModifiedBy>
  <cp:revision>2</cp:revision>
  <dcterms:created xsi:type="dcterms:W3CDTF">2022-05-27T10:03:00Z</dcterms:created>
  <dcterms:modified xsi:type="dcterms:W3CDTF">2022-05-27T10:03:00Z</dcterms:modified>
</cp:coreProperties>
</file>